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7D0E" w14:textId="133C0925" w:rsidR="00503E5B" w:rsidRPr="00B03945" w:rsidRDefault="006B2013" w:rsidP="006B2013">
      <w:pPr>
        <w:jc w:val="center"/>
        <w:rPr>
          <w:b/>
          <w:color w:val="365F91" w:themeColor="accent1" w:themeShade="BF"/>
          <w:sz w:val="36"/>
          <w:szCs w:val="28"/>
        </w:rPr>
      </w:pPr>
      <w:r w:rsidRPr="00B03945">
        <w:rPr>
          <w:b/>
          <w:color w:val="365F91" w:themeColor="accent1" w:themeShade="BF"/>
          <w:sz w:val="36"/>
          <w:szCs w:val="28"/>
        </w:rPr>
        <w:t>Shared Ownership Policies</w:t>
      </w:r>
      <w:r w:rsidR="003952AE">
        <w:rPr>
          <w:b/>
          <w:color w:val="365F91" w:themeColor="accent1" w:themeShade="BF"/>
          <w:sz w:val="36"/>
          <w:szCs w:val="28"/>
        </w:rPr>
        <w:t xml:space="preserve"> 2024</w:t>
      </w:r>
    </w:p>
    <w:p w14:paraId="427E775F" w14:textId="4A6FEB6C" w:rsidR="00EA2464" w:rsidRPr="00390BED" w:rsidRDefault="00EA2464" w:rsidP="00EA2464">
      <w:pPr>
        <w:rPr>
          <w:color w:val="7030A0"/>
          <w:sz w:val="28"/>
          <w:szCs w:val="28"/>
        </w:rPr>
      </w:pPr>
      <w:r w:rsidRPr="00390BED">
        <w:rPr>
          <w:color w:val="7030A0"/>
          <w:sz w:val="28"/>
          <w:szCs w:val="28"/>
        </w:rPr>
        <w:t xml:space="preserve">1 </w:t>
      </w:r>
      <w:r w:rsidRPr="00390BED">
        <w:rPr>
          <w:color w:val="7030A0"/>
          <w:sz w:val="28"/>
          <w:szCs w:val="28"/>
        </w:rPr>
        <w:tab/>
      </w:r>
      <w:r w:rsidR="00683177" w:rsidRPr="006B2013">
        <w:rPr>
          <w:color w:val="7030A0"/>
          <w:sz w:val="28"/>
          <w:szCs w:val="28"/>
        </w:rPr>
        <w:t>Purpose</w:t>
      </w:r>
      <w:r w:rsidR="00683177" w:rsidRPr="00390BED">
        <w:rPr>
          <w:color w:val="7030A0"/>
          <w:sz w:val="28"/>
          <w:szCs w:val="28"/>
        </w:rPr>
        <w:t xml:space="preserve"> </w:t>
      </w:r>
    </w:p>
    <w:p w14:paraId="0E0EEF6A" w14:textId="3BC8D8C4" w:rsidR="00683177" w:rsidRDefault="00750828" w:rsidP="00683177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The p</w:t>
      </w:r>
      <w:r w:rsidR="00CE216A">
        <w:rPr>
          <w:rFonts w:cstheme="minorHAnsi"/>
          <w:color w:val="0070C0"/>
          <w:sz w:val="24"/>
          <w:szCs w:val="24"/>
        </w:rPr>
        <w:t xml:space="preserve">urpose of this policy is </w:t>
      </w:r>
      <w:r w:rsidR="00C87E9D">
        <w:rPr>
          <w:rFonts w:cstheme="minorHAnsi"/>
          <w:color w:val="0070C0"/>
          <w:sz w:val="24"/>
          <w:szCs w:val="24"/>
        </w:rPr>
        <w:t xml:space="preserve">to provide prospective shared ownership customers with a clearer understanding of Arches Housing’s approach to </w:t>
      </w:r>
      <w:r w:rsidR="009F59C2">
        <w:rPr>
          <w:rFonts w:cstheme="minorHAnsi"/>
          <w:color w:val="0070C0"/>
          <w:sz w:val="24"/>
          <w:szCs w:val="24"/>
        </w:rPr>
        <w:t>assessing share ownership applications.</w:t>
      </w:r>
    </w:p>
    <w:p w14:paraId="23309B77" w14:textId="77777777" w:rsidR="009F59C2" w:rsidRDefault="009F59C2" w:rsidP="009F59C2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6665E8F8" w14:textId="77777777" w:rsidR="009F59C2" w:rsidRPr="006B2013" w:rsidRDefault="009F59C2" w:rsidP="009F59C2">
      <w:pPr>
        <w:pStyle w:val="ListParagraph"/>
        <w:numPr>
          <w:ilvl w:val="0"/>
          <w:numId w:val="18"/>
        </w:numPr>
        <w:rPr>
          <w:rFonts w:cstheme="minorHAnsi"/>
          <w:color w:val="7030A0"/>
          <w:sz w:val="28"/>
          <w:szCs w:val="28"/>
        </w:rPr>
      </w:pPr>
      <w:r w:rsidRPr="006B2013">
        <w:rPr>
          <w:rFonts w:cstheme="minorHAnsi"/>
          <w:color w:val="7030A0"/>
          <w:sz w:val="28"/>
          <w:szCs w:val="28"/>
        </w:rPr>
        <w:t>First Come, First Served Allocation Policy</w:t>
      </w:r>
    </w:p>
    <w:p w14:paraId="6EA76FE5" w14:textId="77777777" w:rsidR="009F59C2" w:rsidRDefault="009F59C2" w:rsidP="009F59C2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 w:rsidRPr="004A0ADF">
        <w:rPr>
          <w:rFonts w:cstheme="minorHAnsi"/>
          <w:color w:val="0070C0"/>
          <w:sz w:val="24"/>
          <w:szCs w:val="24"/>
        </w:rPr>
        <w:t xml:space="preserve">At Arches Housing Limited we have adopted the below policy for first come, first served. Allocation of </w:t>
      </w:r>
      <w:r>
        <w:rPr>
          <w:rFonts w:cstheme="minorHAnsi"/>
          <w:color w:val="0070C0"/>
          <w:sz w:val="24"/>
          <w:szCs w:val="24"/>
        </w:rPr>
        <w:t>a</w:t>
      </w:r>
      <w:r w:rsidRPr="004A0ADF">
        <w:rPr>
          <w:rFonts w:cstheme="minorHAnsi"/>
          <w:color w:val="0070C0"/>
          <w:sz w:val="24"/>
          <w:szCs w:val="24"/>
        </w:rPr>
        <w:t xml:space="preserve"> propert</w:t>
      </w:r>
      <w:r>
        <w:rPr>
          <w:rFonts w:cstheme="minorHAnsi"/>
          <w:color w:val="0070C0"/>
          <w:sz w:val="24"/>
          <w:szCs w:val="24"/>
        </w:rPr>
        <w:t>y will be based on this:</w:t>
      </w:r>
    </w:p>
    <w:p w14:paraId="287CA36C" w14:textId="77777777" w:rsidR="009F59C2" w:rsidRDefault="009F59C2" w:rsidP="009F59C2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50962A32" w14:textId="77777777" w:rsidR="009F59C2" w:rsidRDefault="009F59C2" w:rsidP="009F59C2">
      <w:pPr>
        <w:pStyle w:val="ListParagraph"/>
        <w:rPr>
          <w:rFonts w:cstheme="minorHAnsi"/>
          <w:color w:val="0070C0"/>
          <w:sz w:val="24"/>
          <w:szCs w:val="24"/>
        </w:rPr>
      </w:pPr>
      <w:r w:rsidRPr="004A0ADF">
        <w:rPr>
          <w:rFonts w:cstheme="minorHAnsi"/>
          <w:color w:val="0070C0"/>
          <w:sz w:val="24"/>
          <w:szCs w:val="24"/>
        </w:rPr>
        <w:t xml:space="preserve">At Point of Enquiry – we will base the allocation on whoever made the enquiry first to the </w:t>
      </w:r>
      <w:r>
        <w:rPr>
          <w:rFonts w:cstheme="minorHAnsi"/>
          <w:color w:val="0070C0"/>
          <w:sz w:val="24"/>
          <w:szCs w:val="24"/>
        </w:rPr>
        <w:t xml:space="preserve">lead marketing contact for the specific property available, this may be Arches Housing Limited or our appointed Estate Agent for new shared ownership homes. </w:t>
      </w:r>
    </w:p>
    <w:p w14:paraId="2BDD9057" w14:textId="77777777" w:rsidR="009F59C2" w:rsidRDefault="009F59C2" w:rsidP="009F59C2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6DF71AB7" w14:textId="4C1F82D1" w:rsidR="009F59C2" w:rsidRDefault="009F59C2" w:rsidP="009F59C2">
      <w:pPr>
        <w:pStyle w:val="ListParagraph"/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For resales, where Arches Housing Limited are not nominating a potential shared owner, this policy will be implemented based on whomever the seller puts across first and we will assess based on one applic</w:t>
      </w:r>
      <w:r w:rsidR="006B2013">
        <w:rPr>
          <w:rFonts w:cstheme="minorHAnsi"/>
          <w:color w:val="0070C0"/>
          <w:sz w:val="24"/>
          <w:szCs w:val="24"/>
        </w:rPr>
        <w:t>ant at a time for one property.</w:t>
      </w:r>
    </w:p>
    <w:p w14:paraId="06942089" w14:textId="26ED8E59" w:rsidR="006B2013" w:rsidRPr="006B2013" w:rsidRDefault="006B2013" w:rsidP="006B2013">
      <w:pPr>
        <w:pStyle w:val="ListParagraph"/>
        <w:rPr>
          <w:rFonts w:cstheme="minorHAnsi"/>
          <w:color w:val="7030A0"/>
          <w:sz w:val="28"/>
          <w:szCs w:val="28"/>
        </w:rPr>
      </w:pPr>
    </w:p>
    <w:p w14:paraId="1284C066" w14:textId="39C106CA" w:rsidR="006B2013" w:rsidRPr="006B2013" w:rsidRDefault="006B2013" w:rsidP="006B2013">
      <w:pPr>
        <w:pStyle w:val="ListParagraph"/>
        <w:numPr>
          <w:ilvl w:val="0"/>
          <w:numId w:val="18"/>
        </w:numPr>
        <w:rPr>
          <w:rFonts w:cstheme="minorHAnsi"/>
          <w:color w:val="7030A0"/>
          <w:sz w:val="28"/>
          <w:szCs w:val="28"/>
        </w:rPr>
      </w:pPr>
      <w:r w:rsidRPr="006B2013">
        <w:rPr>
          <w:rFonts w:cstheme="minorHAnsi"/>
          <w:color w:val="7030A0"/>
          <w:sz w:val="28"/>
          <w:szCs w:val="28"/>
        </w:rPr>
        <w:t>Minimum Surplus Income Policy (monthly)</w:t>
      </w:r>
    </w:p>
    <w:p w14:paraId="09D5CB25" w14:textId="77777777" w:rsidR="006B2013" w:rsidRDefault="006B2013" w:rsidP="006B2013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 w:rsidRPr="004A0ADF">
        <w:rPr>
          <w:rFonts w:cstheme="minorHAnsi"/>
          <w:color w:val="0070C0"/>
          <w:sz w:val="24"/>
          <w:szCs w:val="24"/>
        </w:rPr>
        <w:t xml:space="preserve">Arches Housing Limited ensures that all shared ownership cases meet Homes England affordability guidance as detailed in the Capital Funding Guide. </w:t>
      </w:r>
    </w:p>
    <w:p w14:paraId="69DF05DB" w14:textId="77777777" w:rsidR="006B2013" w:rsidRPr="004A0ADF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2BF0A456" w14:textId="77777777" w:rsidR="006B2013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 xml:space="preserve">In line this our approach and requirements in the Capital Funding Guide, Arches will work to the policy that prospective shared owners undergoing an affordability assessment </w:t>
      </w:r>
      <w:r w:rsidRPr="004A0ADF">
        <w:rPr>
          <w:rFonts w:cstheme="minorHAnsi"/>
          <w:color w:val="0070C0"/>
          <w:sz w:val="24"/>
          <w:szCs w:val="24"/>
        </w:rPr>
        <w:t xml:space="preserve">must have a minimum of 10% of their net mortgagable income remaining after all deductions and the stress tested rent. </w:t>
      </w:r>
    </w:p>
    <w:p w14:paraId="49DD41CC" w14:textId="77777777" w:rsidR="006B2013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4831FEAF" w14:textId="77777777" w:rsidR="006B2013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  <w:r w:rsidRPr="004A0ADF">
        <w:rPr>
          <w:rFonts w:cstheme="minorHAnsi"/>
          <w:color w:val="0070C0"/>
          <w:sz w:val="24"/>
          <w:szCs w:val="24"/>
        </w:rPr>
        <w:t xml:space="preserve">In addition to the Homes England affordability, we also expect </w:t>
      </w:r>
      <w:r>
        <w:rPr>
          <w:rFonts w:cstheme="minorHAnsi"/>
          <w:color w:val="0070C0"/>
          <w:sz w:val="24"/>
          <w:szCs w:val="24"/>
        </w:rPr>
        <w:t>customers to have</w:t>
      </w:r>
      <w:r w:rsidRPr="004A0ADF">
        <w:rPr>
          <w:rFonts w:cstheme="minorHAnsi"/>
          <w:color w:val="0070C0"/>
          <w:sz w:val="24"/>
          <w:szCs w:val="24"/>
        </w:rPr>
        <w:t xml:space="preserve"> a minimum of 10% of their total net income remaining </w:t>
      </w:r>
      <w:r>
        <w:rPr>
          <w:rFonts w:cstheme="minorHAnsi"/>
          <w:color w:val="0070C0"/>
          <w:sz w:val="24"/>
          <w:szCs w:val="24"/>
        </w:rPr>
        <w:t xml:space="preserve">on the budget planner that forms part of the independent financial adviser checks. </w:t>
      </w:r>
    </w:p>
    <w:p w14:paraId="410455AB" w14:textId="77777777" w:rsidR="006B2013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5E574FA5" w14:textId="0B906B31" w:rsidR="006B2013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Arches follows this approach as a 1</w:t>
      </w:r>
      <w:r w:rsidRPr="004A0ADF">
        <w:rPr>
          <w:rFonts w:cstheme="minorHAnsi"/>
          <w:color w:val="0070C0"/>
          <w:sz w:val="24"/>
          <w:szCs w:val="24"/>
        </w:rPr>
        <w:t>0% leeway</w:t>
      </w:r>
      <w:r>
        <w:rPr>
          <w:rFonts w:cstheme="minorHAnsi"/>
          <w:color w:val="0070C0"/>
          <w:sz w:val="24"/>
          <w:szCs w:val="24"/>
        </w:rPr>
        <w:t xml:space="preserve"> gives movement, for </w:t>
      </w:r>
      <w:r w:rsidR="00004E1B">
        <w:rPr>
          <w:rFonts w:cstheme="minorHAnsi"/>
          <w:color w:val="0070C0"/>
          <w:sz w:val="24"/>
          <w:szCs w:val="24"/>
        </w:rPr>
        <w:t xml:space="preserve">prospective </w:t>
      </w:r>
      <w:r w:rsidR="00004E1B" w:rsidRPr="004A0ADF">
        <w:rPr>
          <w:rFonts w:cstheme="minorHAnsi"/>
          <w:color w:val="0070C0"/>
          <w:sz w:val="24"/>
          <w:szCs w:val="24"/>
        </w:rPr>
        <w:t>customer</w:t>
      </w:r>
      <w:r w:rsidR="00004E1B">
        <w:rPr>
          <w:rFonts w:cstheme="minorHAnsi"/>
          <w:color w:val="0070C0"/>
          <w:sz w:val="24"/>
          <w:szCs w:val="24"/>
        </w:rPr>
        <w:t>s</w:t>
      </w:r>
      <w:r>
        <w:rPr>
          <w:rFonts w:cstheme="minorHAnsi"/>
          <w:color w:val="0070C0"/>
          <w:sz w:val="24"/>
          <w:szCs w:val="24"/>
        </w:rPr>
        <w:t>,</w:t>
      </w:r>
      <w:r w:rsidRPr="004A0ADF">
        <w:rPr>
          <w:rFonts w:cstheme="minorHAnsi"/>
          <w:color w:val="0070C0"/>
          <w:sz w:val="24"/>
          <w:szCs w:val="24"/>
        </w:rPr>
        <w:t xml:space="preserve"> against possible increased costs or unforeseen circumstances that have not been budgeted for.</w:t>
      </w:r>
    </w:p>
    <w:p w14:paraId="6DAA57C6" w14:textId="77777777" w:rsidR="006B2013" w:rsidRDefault="006B2013" w:rsidP="009F59C2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5A107A00" w14:textId="77777777" w:rsidR="006B2013" w:rsidRPr="006B2013" w:rsidRDefault="006B2013" w:rsidP="006B2013">
      <w:pPr>
        <w:pStyle w:val="ListParagraph"/>
        <w:numPr>
          <w:ilvl w:val="0"/>
          <w:numId w:val="18"/>
        </w:numPr>
        <w:rPr>
          <w:rFonts w:cstheme="minorHAnsi"/>
          <w:color w:val="7030A0"/>
          <w:sz w:val="28"/>
          <w:szCs w:val="24"/>
        </w:rPr>
      </w:pPr>
      <w:r w:rsidRPr="006B2013">
        <w:rPr>
          <w:rFonts w:cstheme="minorHAnsi"/>
          <w:color w:val="7030A0"/>
          <w:sz w:val="28"/>
          <w:szCs w:val="24"/>
        </w:rPr>
        <w:t>Minimum Deposit Policy</w:t>
      </w:r>
    </w:p>
    <w:p w14:paraId="45253834" w14:textId="77777777" w:rsidR="006B2013" w:rsidRPr="00C87E9D" w:rsidRDefault="006B2013" w:rsidP="006B2013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 w:rsidRPr="00C87E9D">
        <w:rPr>
          <w:rFonts w:cstheme="minorHAnsi"/>
          <w:color w:val="0070C0"/>
          <w:sz w:val="24"/>
          <w:szCs w:val="24"/>
        </w:rPr>
        <w:t>Every applicant is expected to be able to provide at least 5% of the share value from their own resources. You will need to be able to provide evidence of the source of these funds where requested.</w:t>
      </w:r>
    </w:p>
    <w:p w14:paraId="33AA0B85" w14:textId="77777777" w:rsidR="00B03945" w:rsidRDefault="00B03945" w:rsidP="00B03945">
      <w:pPr>
        <w:pStyle w:val="ListParagraph"/>
        <w:rPr>
          <w:rFonts w:cstheme="minorHAnsi"/>
          <w:color w:val="7030A0"/>
          <w:sz w:val="28"/>
          <w:szCs w:val="24"/>
        </w:rPr>
      </w:pPr>
    </w:p>
    <w:p w14:paraId="745F9ADA" w14:textId="57856615" w:rsidR="00C87E9D" w:rsidRPr="006B2013" w:rsidRDefault="009F59C2" w:rsidP="00C87E9D">
      <w:pPr>
        <w:pStyle w:val="ListParagraph"/>
        <w:numPr>
          <w:ilvl w:val="0"/>
          <w:numId w:val="18"/>
        </w:numPr>
        <w:rPr>
          <w:rFonts w:cstheme="minorHAnsi"/>
          <w:color w:val="7030A0"/>
          <w:sz w:val="28"/>
          <w:szCs w:val="24"/>
        </w:rPr>
      </w:pPr>
      <w:r w:rsidRPr="006B2013">
        <w:rPr>
          <w:rFonts w:cstheme="minorHAnsi"/>
          <w:color w:val="7030A0"/>
          <w:sz w:val="28"/>
          <w:szCs w:val="24"/>
        </w:rPr>
        <w:t xml:space="preserve">Adverse Credit Policy </w:t>
      </w:r>
    </w:p>
    <w:p w14:paraId="6125F567" w14:textId="48C808A4" w:rsidR="002C5A62" w:rsidRDefault="00B03945" w:rsidP="00B03945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 w:rsidRPr="00B03945">
        <w:rPr>
          <w:rFonts w:cstheme="minorHAnsi"/>
          <w:color w:val="0070C0"/>
          <w:sz w:val="24"/>
          <w:szCs w:val="24"/>
        </w:rPr>
        <w:t xml:space="preserve">No CCJ’s or Defaults that remain unsatisfied within last 2 years unless communication defaults or below £300 </w:t>
      </w:r>
    </w:p>
    <w:p w14:paraId="21EE3748" w14:textId="77777777" w:rsidR="002C5A62" w:rsidRDefault="00B03945" w:rsidP="00B03945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 w:rsidRPr="00B03945">
        <w:rPr>
          <w:rFonts w:cstheme="minorHAnsi"/>
          <w:color w:val="0070C0"/>
          <w:sz w:val="24"/>
          <w:szCs w:val="24"/>
        </w:rPr>
        <w:t>No CCJ’s or defaults within last 2yrs, satisf</w:t>
      </w:r>
      <w:r w:rsidR="002C5A62">
        <w:rPr>
          <w:rFonts w:cstheme="minorHAnsi"/>
          <w:color w:val="0070C0"/>
          <w:sz w:val="24"/>
          <w:szCs w:val="24"/>
        </w:rPr>
        <w:t xml:space="preserve">ied or unsatisfied over £250 </w:t>
      </w:r>
    </w:p>
    <w:p w14:paraId="7D3CBF57" w14:textId="77777777" w:rsidR="002C5A62" w:rsidRDefault="002C5A62" w:rsidP="00B03945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I</w:t>
      </w:r>
      <w:r w:rsidR="00B03945" w:rsidRPr="00B03945">
        <w:rPr>
          <w:rFonts w:cstheme="minorHAnsi"/>
          <w:color w:val="0070C0"/>
          <w:sz w:val="24"/>
          <w:szCs w:val="24"/>
        </w:rPr>
        <w:t>VA’s or Bankruptcy discharged 3yrs ago acceptable, or registered over 6 years ago and sati</w:t>
      </w:r>
      <w:r>
        <w:rPr>
          <w:rFonts w:cstheme="minorHAnsi"/>
          <w:color w:val="0070C0"/>
          <w:sz w:val="24"/>
          <w:szCs w:val="24"/>
        </w:rPr>
        <w:t xml:space="preserve">sfied, with no further issues </w:t>
      </w:r>
    </w:p>
    <w:p w14:paraId="37A6A836" w14:textId="77777777" w:rsidR="002C5A62" w:rsidRDefault="00B03945" w:rsidP="00B03945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 w:rsidRPr="00B03945">
        <w:rPr>
          <w:rFonts w:cstheme="minorHAnsi"/>
          <w:color w:val="0070C0"/>
          <w:sz w:val="24"/>
          <w:szCs w:val="24"/>
        </w:rPr>
        <w:t>Debt management plans acceptable if the customer has managed approp</w:t>
      </w:r>
      <w:r w:rsidR="002C5A62">
        <w:rPr>
          <w:rFonts w:cstheme="minorHAnsi"/>
          <w:color w:val="0070C0"/>
          <w:sz w:val="24"/>
          <w:szCs w:val="24"/>
        </w:rPr>
        <w:t xml:space="preserve">riately and no further issues </w:t>
      </w:r>
    </w:p>
    <w:p w14:paraId="1AAC2EDD" w14:textId="77777777" w:rsidR="002C5A62" w:rsidRDefault="00B03945" w:rsidP="00B03945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 w:rsidRPr="00B03945">
        <w:rPr>
          <w:rFonts w:cstheme="minorHAnsi"/>
          <w:color w:val="0070C0"/>
          <w:sz w:val="24"/>
          <w:szCs w:val="24"/>
        </w:rPr>
        <w:t>No mortg</w:t>
      </w:r>
      <w:r w:rsidR="002C5A62">
        <w:rPr>
          <w:rFonts w:cstheme="minorHAnsi"/>
          <w:color w:val="0070C0"/>
          <w:sz w:val="24"/>
          <w:szCs w:val="24"/>
        </w:rPr>
        <w:t xml:space="preserve">age arrears in last 12 months </w:t>
      </w:r>
    </w:p>
    <w:p w14:paraId="778D3045" w14:textId="11F704AD" w:rsidR="00C87E9D" w:rsidRDefault="00B03945" w:rsidP="00B03945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 w:rsidRPr="00B03945">
        <w:rPr>
          <w:rFonts w:cstheme="minorHAnsi"/>
          <w:color w:val="0070C0"/>
          <w:sz w:val="24"/>
          <w:szCs w:val="24"/>
        </w:rPr>
        <w:t xml:space="preserve">Previous repossession over 3yrs ago acceptable, provided no outstanding debt to lender and no </w:t>
      </w:r>
      <w:r w:rsidR="002C5A62">
        <w:rPr>
          <w:rFonts w:cstheme="minorHAnsi"/>
          <w:color w:val="0070C0"/>
          <w:sz w:val="24"/>
          <w:szCs w:val="24"/>
        </w:rPr>
        <w:t>other credit issue in last 3yrs,</w:t>
      </w:r>
      <w:r w:rsidRPr="00B03945">
        <w:rPr>
          <w:rFonts w:cstheme="minorHAnsi"/>
          <w:color w:val="0070C0"/>
          <w:sz w:val="24"/>
          <w:szCs w:val="24"/>
        </w:rPr>
        <w:t xml:space="preserve"> (requires letter from repo lender to confirm no outstanding debt)</w:t>
      </w:r>
    </w:p>
    <w:p w14:paraId="0BFABC10" w14:textId="77777777" w:rsidR="00B03945" w:rsidRDefault="00B03945" w:rsidP="00B03945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5E268504" w14:textId="12B96C05" w:rsidR="00924A8A" w:rsidRPr="006B2013" w:rsidRDefault="00924A8A" w:rsidP="00924A8A">
      <w:pPr>
        <w:pStyle w:val="ListParagraph"/>
        <w:numPr>
          <w:ilvl w:val="0"/>
          <w:numId w:val="18"/>
        </w:numPr>
        <w:rPr>
          <w:rFonts w:cstheme="minorHAnsi"/>
          <w:color w:val="7030A0"/>
          <w:sz w:val="28"/>
          <w:szCs w:val="24"/>
        </w:rPr>
      </w:pPr>
      <w:r w:rsidRPr="006B2013">
        <w:rPr>
          <w:rFonts w:cstheme="minorHAnsi"/>
          <w:color w:val="7030A0"/>
          <w:sz w:val="28"/>
          <w:szCs w:val="24"/>
        </w:rPr>
        <w:t>Cash Buyers</w:t>
      </w:r>
    </w:p>
    <w:p w14:paraId="6E71BFEC" w14:textId="169CE570" w:rsidR="00924A8A" w:rsidRDefault="006B2013" w:rsidP="00924A8A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 xml:space="preserve">If you are a prospective shared owner looking to purchase the share utilising cash, as with all applicants you will </w:t>
      </w:r>
      <w:r w:rsidR="00924A8A">
        <w:rPr>
          <w:rFonts w:cstheme="minorHAnsi"/>
          <w:color w:val="0070C0"/>
          <w:sz w:val="24"/>
          <w:szCs w:val="24"/>
        </w:rPr>
        <w:t xml:space="preserve">be referred to an IFA to confirm that </w:t>
      </w:r>
      <w:r>
        <w:rPr>
          <w:rFonts w:cstheme="minorHAnsi"/>
          <w:color w:val="0070C0"/>
          <w:sz w:val="24"/>
          <w:szCs w:val="24"/>
        </w:rPr>
        <w:t xml:space="preserve">you </w:t>
      </w:r>
      <w:r w:rsidR="00924A8A">
        <w:rPr>
          <w:rFonts w:cstheme="minorHAnsi"/>
          <w:color w:val="0070C0"/>
          <w:sz w:val="24"/>
          <w:szCs w:val="24"/>
        </w:rPr>
        <w:t>are unable to obtain a mortgage or that a suitable mortgage is not available</w:t>
      </w:r>
      <w:r>
        <w:rPr>
          <w:rFonts w:cstheme="minorHAnsi"/>
          <w:color w:val="0070C0"/>
          <w:sz w:val="24"/>
          <w:szCs w:val="24"/>
        </w:rPr>
        <w:t xml:space="preserve"> for you</w:t>
      </w:r>
      <w:r w:rsidR="00924A8A">
        <w:rPr>
          <w:rFonts w:cstheme="minorHAnsi"/>
          <w:color w:val="0070C0"/>
          <w:sz w:val="24"/>
          <w:szCs w:val="24"/>
        </w:rPr>
        <w:t xml:space="preserve">. The suitable share will then be determined, and the process will ensure that cash purchase applicants are not disadvantages in any way during the assessment and decision making process. </w:t>
      </w:r>
    </w:p>
    <w:p w14:paraId="1C1AC43E" w14:textId="77777777" w:rsidR="008549A9" w:rsidRDefault="008549A9" w:rsidP="008549A9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696ADE86" w14:textId="017223FD" w:rsidR="008549A9" w:rsidRPr="00B03945" w:rsidRDefault="008549A9" w:rsidP="008549A9">
      <w:pPr>
        <w:pStyle w:val="ListParagraph"/>
        <w:numPr>
          <w:ilvl w:val="0"/>
          <w:numId w:val="18"/>
        </w:numPr>
        <w:rPr>
          <w:rFonts w:cstheme="minorHAnsi"/>
          <w:color w:val="7030A0"/>
          <w:sz w:val="28"/>
          <w:szCs w:val="24"/>
        </w:rPr>
      </w:pPr>
      <w:r w:rsidRPr="00B03945">
        <w:rPr>
          <w:rFonts w:cstheme="minorHAnsi"/>
          <w:color w:val="7030A0"/>
          <w:sz w:val="28"/>
          <w:szCs w:val="24"/>
        </w:rPr>
        <w:t>Resales</w:t>
      </w:r>
    </w:p>
    <w:p w14:paraId="4606C72D" w14:textId="2900FE69" w:rsidR="006B2013" w:rsidRPr="008549A9" w:rsidRDefault="008549A9" w:rsidP="008549A9">
      <w:pPr>
        <w:pStyle w:val="ListParagraph"/>
        <w:numPr>
          <w:ilvl w:val="1"/>
          <w:numId w:val="18"/>
        </w:numPr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A</w:t>
      </w:r>
      <w:r w:rsidR="006B2013" w:rsidRPr="008549A9">
        <w:rPr>
          <w:rFonts w:cstheme="minorHAnsi"/>
          <w:color w:val="0070C0"/>
          <w:sz w:val="24"/>
          <w:szCs w:val="24"/>
        </w:rPr>
        <w:t xml:space="preserve">ll applicants for Shared Ownership resale homes will be referred to an advisor for a financial assessment in the same way as applicants for new Shared Ownership homes are. </w:t>
      </w:r>
    </w:p>
    <w:p w14:paraId="12925DAC" w14:textId="14204BA8" w:rsidR="006B2013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36031A0A" w14:textId="25143936" w:rsidR="006B2013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  <w:r w:rsidRPr="006B2013">
        <w:rPr>
          <w:rFonts w:cstheme="minorHAnsi"/>
          <w:color w:val="0070C0"/>
          <w:sz w:val="24"/>
          <w:szCs w:val="24"/>
        </w:rPr>
        <w:t>For resales there is a minimum share that is available for purchase, this being the share held by the seller at which the home can be marketed and advertised</w:t>
      </w:r>
      <w:r w:rsidR="008549A9">
        <w:rPr>
          <w:rFonts w:cstheme="minorHAnsi"/>
          <w:color w:val="0070C0"/>
          <w:sz w:val="24"/>
          <w:szCs w:val="24"/>
        </w:rPr>
        <w:t xml:space="preserve">. The assessments will be based on this share, unless the prospective shared owner wishes to be considered for a larger share and the lease allows this. </w:t>
      </w:r>
    </w:p>
    <w:p w14:paraId="543F4D67" w14:textId="1B89415C" w:rsidR="006B2013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7B9D3132" w14:textId="77777777" w:rsidR="006B2013" w:rsidRPr="006B2013" w:rsidRDefault="006B2013" w:rsidP="006B2013">
      <w:pPr>
        <w:pStyle w:val="ListParagraph"/>
        <w:rPr>
          <w:rFonts w:cstheme="minorHAnsi"/>
          <w:color w:val="0070C0"/>
          <w:sz w:val="24"/>
          <w:szCs w:val="24"/>
        </w:rPr>
      </w:pPr>
    </w:p>
    <w:p w14:paraId="1509650B" w14:textId="77777777" w:rsidR="00924A8A" w:rsidRDefault="00924A8A" w:rsidP="004A0ADF">
      <w:pPr>
        <w:pStyle w:val="ListParagraph"/>
        <w:rPr>
          <w:rFonts w:cstheme="minorHAnsi"/>
          <w:color w:val="0070C0"/>
          <w:sz w:val="24"/>
          <w:szCs w:val="24"/>
        </w:rPr>
      </w:pPr>
    </w:p>
    <w:sectPr w:rsidR="00924A8A" w:rsidSect="00225D25">
      <w:headerReference w:type="default" r:id="rId11"/>
      <w:footerReference w:type="default" r:id="rId12"/>
      <w:pgSz w:w="11906" w:h="16838"/>
      <w:pgMar w:top="1440" w:right="1440" w:bottom="709" w:left="1440" w:header="708" w:footer="708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BA74" w14:textId="77777777" w:rsidR="009846D2" w:rsidRDefault="009846D2" w:rsidP="00EC71F0">
      <w:pPr>
        <w:spacing w:after="0" w:line="240" w:lineRule="auto"/>
      </w:pPr>
      <w:r>
        <w:separator/>
      </w:r>
    </w:p>
  </w:endnote>
  <w:endnote w:type="continuationSeparator" w:id="0">
    <w:p w14:paraId="3C612918" w14:textId="77777777" w:rsidR="009846D2" w:rsidRDefault="009846D2" w:rsidP="00EC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870B5" w14:textId="4E91A432" w:rsidR="000831AB" w:rsidRDefault="000831AB" w:rsidP="002E3095">
    <w:pPr>
      <w:pStyle w:val="Footer"/>
      <w:jc w:val="center"/>
    </w:pPr>
  </w:p>
  <w:p w14:paraId="3D4878F7" w14:textId="77777777" w:rsidR="000831AB" w:rsidRDefault="0008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3986" w14:textId="77777777" w:rsidR="009846D2" w:rsidRDefault="009846D2" w:rsidP="00EC71F0">
      <w:pPr>
        <w:spacing w:after="0" w:line="240" w:lineRule="auto"/>
      </w:pPr>
      <w:r>
        <w:separator/>
      </w:r>
    </w:p>
  </w:footnote>
  <w:footnote w:type="continuationSeparator" w:id="0">
    <w:p w14:paraId="10B39DD9" w14:textId="77777777" w:rsidR="009846D2" w:rsidRDefault="009846D2" w:rsidP="00EC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5455" w14:textId="111C8F85" w:rsidR="00503E5B" w:rsidRDefault="00503E5B" w:rsidP="00503E5B">
    <w:pPr>
      <w:pStyle w:val="Header"/>
      <w:jc w:val="right"/>
    </w:pPr>
    <w:r>
      <w:rPr>
        <w:noProof/>
        <w:sz w:val="60"/>
        <w:szCs w:val="60"/>
        <w:lang w:eastAsia="en-GB"/>
      </w:rPr>
      <w:drawing>
        <wp:anchor distT="0" distB="0" distL="114300" distR="114300" simplePos="0" relativeHeight="251658240" behindDoc="0" locked="0" layoutInCell="1" allowOverlap="1" wp14:anchorId="5FB01FD2" wp14:editId="5FCFB6D8">
          <wp:simplePos x="0" y="0"/>
          <wp:positionH relativeFrom="column">
            <wp:posOffset>3594100</wp:posOffset>
          </wp:positionH>
          <wp:positionV relativeFrom="paragraph">
            <wp:posOffset>-201930</wp:posOffset>
          </wp:positionV>
          <wp:extent cx="2595880" cy="515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eshousing_logo png f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880" cy="51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77BD"/>
    <w:multiLevelType w:val="hybridMultilevel"/>
    <w:tmpl w:val="ABBCD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53578"/>
    <w:multiLevelType w:val="hybridMultilevel"/>
    <w:tmpl w:val="F14E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D24"/>
    <w:multiLevelType w:val="hybridMultilevel"/>
    <w:tmpl w:val="B3BCC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471FC"/>
    <w:multiLevelType w:val="hybridMultilevel"/>
    <w:tmpl w:val="628E48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C4505"/>
    <w:multiLevelType w:val="hybridMultilevel"/>
    <w:tmpl w:val="3EB62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E1001"/>
    <w:multiLevelType w:val="hybridMultilevel"/>
    <w:tmpl w:val="15140718"/>
    <w:lvl w:ilvl="0" w:tplc="E13EA3E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C1201"/>
    <w:multiLevelType w:val="hybridMultilevel"/>
    <w:tmpl w:val="AF527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602E20"/>
    <w:multiLevelType w:val="multilevel"/>
    <w:tmpl w:val="9E6E80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16C1D"/>
    <w:multiLevelType w:val="hybridMultilevel"/>
    <w:tmpl w:val="BEB6F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F70B7C"/>
    <w:multiLevelType w:val="hybridMultilevel"/>
    <w:tmpl w:val="8334C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B5A03"/>
    <w:multiLevelType w:val="multilevel"/>
    <w:tmpl w:val="CBCE46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4B447CF"/>
    <w:multiLevelType w:val="hybridMultilevel"/>
    <w:tmpl w:val="313E70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31D64"/>
    <w:multiLevelType w:val="hybridMultilevel"/>
    <w:tmpl w:val="E93C2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0186"/>
    <w:multiLevelType w:val="hybridMultilevel"/>
    <w:tmpl w:val="58C86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EC3CAB"/>
    <w:multiLevelType w:val="hybridMultilevel"/>
    <w:tmpl w:val="4A446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011FB"/>
    <w:multiLevelType w:val="hybridMultilevel"/>
    <w:tmpl w:val="0D9A41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A55F29"/>
    <w:multiLevelType w:val="multilevel"/>
    <w:tmpl w:val="C8D63918"/>
    <w:lvl w:ilvl="0">
      <w:start w:val="1"/>
      <w:numFmt w:val="decimal"/>
      <w:lvlText w:val="%1"/>
      <w:lvlJc w:val="left"/>
      <w:pPr>
        <w:ind w:left="720" w:hanging="720"/>
      </w:pPr>
      <w:rPr>
        <w:rFonts w:cstheme="minorBidi" w:hint="default"/>
        <w:color w:val="7030A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theme="minorBidi" w:hint="default"/>
        <w:color w:val="0072C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0072C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0072C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0072C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0072C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0072C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0072C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0072CE"/>
      </w:rPr>
    </w:lvl>
  </w:abstractNum>
  <w:abstractNum w:abstractNumId="17" w15:restartNumberingAfterBreak="0">
    <w:nsid w:val="2E8F6172"/>
    <w:multiLevelType w:val="hybridMultilevel"/>
    <w:tmpl w:val="4724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940F8"/>
    <w:multiLevelType w:val="hybridMultilevel"/>
    <w:tmpl w:val="3FF631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C728E8"/>
    <w:multiLevelType w:val="hybridMultilevel"/>
    <w:tmpl w:val="2E0CD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3C65AF"/>
    <w:multiLevelType w:val="hybridMultilevel"/>
    <w:tmpl w:val="8DA8F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1430E8"/>
    <w:multiLevelType w:val="hybridMultilevel"/>
    <w:tmpl w:val="C3869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AB42AF"/>
    <w:multiLevelType w:val="hybridMultilevel"/>
    <w:tmpl w:val="9D7C0C96"/>
    <w:lvl w:ilvl="0" w:tplc="45BCB8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92FC2"/>
    <w:multiLevelType w:val="hybridMultilevel"/>
    <w:tmpl w:val="55089ABA"/>
    <w:lvl w:ilvl="0" w:tplc="DFC04D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80561"/>
    <w:multiLevelType w:val="hybridMultilevel"/>
    <w:tmpl w:val="150CE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0077C"/>
    <w:multiLevelType w:val="hybridMultilevel"/>
    <w:tmpl w:val="B8181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397BE6"/>
    <w:multiLevelType w:val="hybridMultilevel"/>
    <w:tmpl w:val="D334F34C"/>
    <w:lvl w:ilvl="0" w:tplc="0809000F">
      <w:start w:val="1"/>
      <w:numFmt w:val="decimal"/>
      <w:lvlText w:val="%1."/>
      <w:lvlJc w:val="left"/>
      <w:pPr>
        <w:ind w:left="1490" w:hanging="360"/>
      </w:p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7" w15:restartNumberingAfterBreak="0">
    <w:nsid w:val="4B45576E"/>
    <w:multiLevelType w:val="hybridMultilevel"/>
    <w:tmpl w:val="283834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AA0856"/>
    <w:multiLevelType w:val="hybridMultilevel"/>
    <w:tmpl w:val="F96415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7E1A3A"/>
    <w:multiLevelType w:val="multilevel"/>
    <w:tmpl w:val="AC0A9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BE58A6"/>
    <w:multiLevelType w:val="hybridMultilevel"/>
    <w:tmpl w:val="528C426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2EA57E5"/>
    <w:multiLevelType w:val="hybridMultilevel"/>
    <w:tmpl w:val="6C6CFD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2F20ED3"/>
    <w:multiLevelType w:val="hybridMultilevel"/>
    <w:tmpl w:val="D4543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EF3C2F"/>
    <w:multiLevelType w:val="hybridMultilevel"/>
    <w:tmpl w:val="CF8CD0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2A6917"/>
    <w:multiLevelType w:val="hybridMultilevel"/>
    <w:tmpl w:val="E6EA3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41D22"/>
    <w:multiLevelType w:val="hybridMultilevel"/>
    <w:tmpl w:val="C0FAC9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5D6BAB"/>
    <w:multiLevelType w:val="multilevel"/>
    <w:tmpl w:val="75F4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777089">
    <w:abstractNumId w:val="17"/>
  </w:num>
  <w:num w:numId="2" w16cid:durableId="395010807">
    <w:abstractNumId w:val="6"/>
  </w:num>
  <w:num w:numId="3" w16cid:durableId="1389110358">
    <w:abstractNumId w:val="29"/>
  </w:num>
  <w:num w:numId="4" w16cid:durableId="261961248">
    <w:abstractNumId w:val="9"/>
  </w:num>
  <w:num w:numId="5" w16cid:durableId="868566074">
    <w:abstractNumId w:val="21"/>
  </w:num>
  <w:num w:numId="6" w16cid:durableId="780419230">
    <w:abstractNumId w:val="35"/>
  </w:num>
  <w:num w:numId="7" w16cid:durableId="1111364721">
    <w:abstractNumId w:val="30"/>
  </w:num>
  <w:num w:numId="8" w16cid:durableId="657226972">
    <w:abstractNumId w:val="24"/>
  </w:num>
  <w:num w:numId="9" w16cid:durableId="864445924">
    <w:abstractNumId w:val="25"/>
  </w:num>
  <w:num w:numId="10" w16cid:durableId="1921864924">
    <w:abstractNumId w:val="3"/>
  </w:num>
  <w:num w:numId="11" w16cid:durableId="1808281460">
    <w:abstractNumId w:val="5"/>
  </w:num>
  <w:num w:numId="12" w16cid:durableId="1531718756">
    <w:abstractNumId w:val="34"/>
  </w:num>
  <w:num w:numId="13" w16cid:durableId="1546522690">
    <w:abstractNumId w:val="33"/>
  </w:num>
  <w:num w:numId="14" w16cid:durableId="1150755720">
    <w:abstractNumId w:val="31"/>
  </w:num>
  <w:num w:numId="15" w16cid:durableId="1605840656">
    <w:abstractNumId w:val="10"/>
  </w:num>
  <w:num w:numId="16" w16cid:durableId="74252388">
    <w:abstractNumId w:val="27"/>
  </w:num>
  <w:num w:numId="17" w16cid:durableId="1058432126">
    <w:abstractNumId w:val="23"/>
  </w:num>
  <w:num w:numId="18" w16cid:durableId="2028823536">
    <w:abstractNumId w:val="16"/>
  </w:num>
  <w:num w:numId="19" w16cid:durableId="303388052">
    <w:abstractNumId w:val="13"/>
  </w:num>
  <w:num w:numId="20" w16cid:durableId="811020716">
    <w:abstractNumId w:val="7"/>
  </w:num>
  <w:num w:numId="21" w16cid:durableId="1445229905">
    <w:abstractNumId w:val="11"/>
  </w:num>
  <w:num w:numId="22" w16cid:durableId="638802277">
    <w:abstractNumId w:val="36"/>
  </w:num>
  <w:num w:numId="23" w16cid:durableId="1755779429">
    <w:abstractNumId w:val="22"/>
  </w:num>
  <w:num w:numId="24" w16cid:durableId="828791316">
    <w:abstractNumId w:val="1"/>
  </w:num>
  <w:num w:numId="25" w16cid:durableId="1895002194">
    <w:abstractNumId w:val="4"/>
  </w:num>
  <w:num w:numId="26" w16cid:durableId="296758789">
    <w:abstractNumId w:val="12"/>
  </w:num>
  <w:num w:numId="27" w16cid:durableId="1456095225">
    <w:abstractNumId w:val="2"/>
  </w:num>
  <w:num w:numId="28" w16cid:durableId="655845394">
    <w:abstractNumId w:val="28"/>
  </w:num>
  <w:num w:numId="29" w16cid:durableId="1187910299">
    <w:abstractNumId w:val="14"/>
  </w:num>
  <w:num w:numId="30" w16cid:durableId="1570117251">
    <w:abstractNumId w:val="19"/>
  </w:num>
  <w:num w:numId="31" w16cid:durableId="1248882014">
    <w:abstractNumId w:val="26"/>
  </w:num>
  <w:num w:numId="32" w16cid:durableId="27605862">
    <w:abstractNumId w:val="18"/>
  </w:num>
  <w:num w:numId="33" w16cid:durableId="1881867120">
    <w:abstractNumId w:val="20"/>
  </w:num>
  <w:num w:numId="34" w16cid:durableId="78598029">
    <w:abstractNumId w:val="32"/>
  </w:num>
  <w:num w:numId="35" w16cid:durableId="134877761">
    <w:abstractNumId w:val="0"/>
  </w:num>
  <w:num w:numId="36" w16cid:durableId="605114848">
    <w:abstractNumId w:val="8"/>
  </w:num>
  <w:num w:numId="37" w16cid:durableId="15194634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83"/>
    <w:rsid w:val="00004E1B"/>
    <w:rsid w:val="00006695"/>
    <w:rsid w:val="00010970"/>
    <w:rsid w:val="000245D0"/>
    <w:rsid w:val="0003233A"/>
    <w:rsid w:val="00070351"/>
    <w:rsid w:val="00073026"/>
    <w:rsid w:val="000741B8"/>
    <w:rsid w:val="000831AB"/>
    <w:rsid w:val="00084B08"/>
    <w:rsid w:val="00092CD7"/>
    <w:rsid w:val="000A4052"/>
    <w:rsid w:val="000C76EC"/>
    <w:rsid w:val="000D3F4D"/>
    <w:rsid w:val="000D4EF6"/>
    <w:rsid w:val="000F079C"/>
    <w:rsid w:val="000F642F"/>
    <w:rsid w:val="001044A8"/>
    <w:rsid w:val="00115124"/>
    <w:rsid w:val="00140549"/>
    <w:rsid w:val="00157309"/>
    <w:rsid w:val="00161662"/>
    <w:rsid w:val="0016346D"/>
    <w:rsid w:val="0016640D"/>
    <w:rsid w:val="00166B37"/>
    <w:rsid w:val="001A70DB"/>
    <w:rsid w:val="001B137A"/>
    <w:rsid w:val="001B3E68"/>
    <w:rsid w:val="001C041E"/>
    <w:rsid w:val="001E6D0C"/>
    <w:rsid w:val="00212916"/>
    <w:rsid w:val="00223F6A"/>
    <w:rsid w:val="00225331"/>
    <w:rsid w:val="00225D25"/>
    <w:rsid w:val="002264DB"/>
    <w:rsid w:val="0023217D"/>
    <w:rsid w:val="00235D7E"/>
    <w:rsid w:val="002429A7"/>
    <w:rsid w:val="002526AC"/>
    <w:rsid w:val="002575DD"/>
    <w:rsid w:val="00263683"/>
    <w:rsid w:val="00266C61"/>
    <w:rsid w:val="00274CCA"/>
    <w:rsid w:val="002808A4"/>
    <w:rsid w:val="002A0CF6"/>
    <w:rsid w:val="002B301C"/>
    <w:rsid w:val="002C23FE"/>
    <w:rsid w:val="002C5A62"/>
    <w:rsid w:val="002C7E25"/>
    <w:rsid w:val="002D330F"/>
    <w:rsid w:val="002E0D5E"/>
    <w:rsid w:val="002E3095"/>
    <w:rsid w:val="002F02BE"/>
    <w:rsid w:val="002F1757"/>
    <w:rsid w:val="00303AB8"/>
    <w:rsid w:val="00310837"/>
    <w:rsid w:val="00311311"/>
    <w:rsid w:val="00311632"/>
    <w:rsid w:val="003221F8"/>
    <w:rsid w:val="00325A3C"/>
    <w:rsid w:val="003514A4"/>
    <w:rsid w:val="00353BBB"/>
    <w:rsid w:val="003562DC"/>
    <w:rsid w:val="00362D87"/>
    <w:rsid w:val="0038174D"/>
    <w:rsid w:val="00390BED"/>
    <w:rsid w:val="00393CEB"/>
    <w:rsid w:val="003952AE"/>
    <w:rsid w:val="003D7542"/>
    <w:rsid w:val="003F1EAC"/>
    <w:rsid w:val="00402F23"/>
    <w:rsid w:val="0040414B"/>
    <w:rsid w:val="00420C90"/>
    <w:rsid w:val="00426DD6"/>
    <w:rsid w:val="00457099"/>
    <w:rsid w:val="00477877"/>
    <w:rsid w:val="00477DED"/>
    <w:rsid w:val="00485E70"/>
    <w:rsid w:val="004878D8"/>
    <w:rsid w:val="004A0ADF"/>
    <w:rsid w:val="004A487B"/>
    <w:rsid w:val="004A6E8D"/>
    <w:rsid w:val="004C60F9"/>
    <w:rsid w:val="004D1927"/>
    <w:rsid w:val="004E2F36"/>
    <w:rsid w:val="004E59EF"/>
    <w:rsid w:val="004E789C"/>
    <w:rsid w:val="004F10BA"/>
    <w:rsid w:val="004F6E86"/>
    <w:rsid w:val="0050070B"/>
    <w:rsid w:val="00500866"/>
    <w:rsid w:val="00503E5B"/>
    <w:rsid w:val="005044FC"/>
    <w:rsid w:val="00507647"/>
    <w:rsid w:val="005140E3"/>
    <w:rsid w:val="00532C07"/>
    <w:rsid w:val="0053332E"/>
    <w:rsid w:val="00555DE7"/>
    <w:rsid w:val="00561F71"/>
    <w:rsid w:val="005677E6"/>
    <w:rsid w:val="00572017"/>
    <w:rsid w:val="005900EB"/>
    <w:rsid w:val="00592370"/>
    <w:rsid w:val="005951A1"/>
    <w:rsid w:val="00597BDD"/>
    <w:rsid w:val="005B3991"/>
    <w:rsid w:val="005C26EF"/>
    <w:rsid w:val="005D026E"/>
    <w:rsid w:val="005D2DB0"/>
    <w:rsid w:val="005D430B"/>
    <w:rsid w:val="005D4AFF"/>
    <w:rsid w:val="005E1162"/>
    <w:rsid w:val="005E231F"/>
    <w:rsid w:val="005F3109"/>
    <w:rsid w:val="006162F7"/>
    <w:rsid w:val="00643738"/>
    <w:rsid w:val="00653E2B"/>
    <w:rsid w:val="00660C6E"/>
    <w:rsid w:val="006639D7"/>
    <w:rsid w:val="00683177"/>
    <w:rsid w:val="00686979"/>
    <w:rsid w:val="006A466D"/>
    <w:rsid w:val="006A4C37"/>
    <w:rsid w:val="006B2013"/>
    <w:rsid w:val="006E437F"/>
    <w:rsid w:val="007104FF"/>
    <w:rsid w:val="00716BD6"/>
    <w:rsid w:val="00750828"/>
    <w:rsid w:val="00785077"/>
    <w:rsid w:val="007913E4"/>
    <w:rsid w:val="007924EB"/>
    <w:rsid w:val="00793DFE"/>
    <w:rsid w:val="007A5E2C"/>
    <w:rsid w:val="007C175B"/>
    <w:rsid w:val="007D6C3B"/>
    <w:rsid w:val="0082688B"/>
    <w:rsid w:val="00830F0C"/>
    <w:rsid w:val="0084081D"/>
    <w:rsid w:val="008463CF"/>
    <w:rsid w:val="008474F7"/>
    <w:rsid w:val="008549A9"/>
    <w:rsid w:val="008615E5"/>
    <w:rsid w:val="008678DA"/>
    <w:rsid w:val="00891A17"/>
    <w:rsid w:val="008A0B45"/>
    <w:rsid w:val="008D2538"/>
    <w:rsid w:val="008E0DB9"/>
    <w:rsid w:val="008E4542"/>
    <w:rsid w:val="008E6FFC"/>
    <w:rsid w:val="008F0D04"/>
    <w:rsid w:val="008F74E9"/>
    <w:rsid w:val="00901DEC"/>
    <w:rsid w:val="009229BF"/>
    <w:rsid w:val="00924A8A"/>
    <w:rsid w:val="00935016"/>
    <w:rsid w:val="00940DFF"/>
    <w:rsid w:val="00942D7B"/>
    <w:rsid w:val="009478A0"/>
    <w:rsid w:val="00957B74"/>
    <w:rsid w:val="00971FCF"/>
    <w:rsid w:val="009846D2"/>
    <w:rsid w:val="009A3AC7"/>
    <w:rsid w:val="009B41BD"/>
    <w:rsid w:val="009E60B2"/>
    <w:rsid w:val="009E67D7"/>
    <w:rsid w:val="009F17AC"/>
    <w:rsid w:val="009F1875"/>
    <w:rsid w:val="009F4103"/>
    <w:rsid w:val="009F59C2"/>
    <w:rsid w:val="00A0141A"/>
    <w:rsid w:val="00A03282"/>
    <w:rsid w:val="00A10C9A"/>
    <w:rsid w:val="00A15B74"/>
    <w:rsid w:val="00A32B8C"/>
    <w:rsid w:val="00A55EF0"/>
    <w:rsid w:val="00A967FE"/>
    <w:rsid w:val="00AA1E83"/>
    <w:rsid w:val="00AC3BF9"/>
    <w:rsid w:val="00AC68D1"/>
    <w:rsid w:val="00AD2767"/>
    <w:rsid w:val="00AD3724"/>
    <w:rsid w:val="00B03945"/>
    <w:rsid w:val="00B178D4"/>
    <w:rsid w:val="00B26E30"/>
    <w:rsid w:val="00B32DD8"/>
    <w:rsid w:val="00B406BF"/>
    <w:rsid w:val="00B42AB2"/>
    <w:rsid w:val="00B42AC5"/>
    <w:rsid w:val="00B525C7"/>
    <w:rsid w:val="00B60B05"/>
    <w:rsid w:val="00B71F0B"/>
    <w:rsid w:val="00B76803"/>
    <w:rsid w:val="00B81429"/>
    <w:rsid w:val="00B83690"/>
    <w:rsid w:val="00BA07A2"/>
    <w:rsid w:val="00BA1B09"/>
    <w:rsid w:val="00BA397E"/>
    <w:rsid w:val="00BB0B8F"/>
    <w:rsid w:val="00BB56F0"/>
    <w:rsid w:val="00BC3D50"/>
    <w:rsid w:val="00BD37FD"/>
    <w:rsid w:val="00BD6CF3"/>
    <w:rsid w:val="00BE7C73"/>
    <w:rsid w:val="00BF2905"/>
    <w:rsid w:val="00C1110D"/>
    <w:rsid w:val="00C13C4E"/>
    <w:rsid w:val="00C14426"/>
    <w:rsid w:val="00C14FFE"/>
    <w:rsid w:val="00C26512"/>
    <w:rsid w:val="00C321AA"/>
    <w:rsid w:val="00C35FEB"/>
    <w:rsid w:val="00C56E75"/>
    <w:rsid w:val="00C641A5"/>
    <w:rsid w:val="00C66702"/>
    <w:rsid w:val="00C72B59"/>
    <w:rsid w:val="00C747A0"/>
    <w:rsid w:val="00C87E9D"/>
    <w:rsid w:val="00C90E27"/>
    <w:rsid w:val="00CA558D"/>
    <w:rsid w:val="00CA6966"/>
    <w:rsid w:val="00CA7778"/>
    <w:rsid w:val="00CB0AB0"/>
    <w:rsid w:val="00CB68A7"/>
    <w:rsid w:val="00CD1F3A"/>
    <w:rsid w:val="00CD44ED"/>
    <w:rsid w:val="00CE216A"/>
    <w:rsid w:val="00CE2683"/>
    <w:rsid w:val="00CF41C1"/>
    <w:rsid w:val="00CF6E67"/>
    <w:rsid w:val="00CF7FDE"/>
    <w:rsid w:val="00D04488"/>
    <w:rsid w:val="00D22348"/>
    <w:rsid w:val="00D329E8"/>
    <w:rsid w:val="00D3556D"/>
    <w:rsid w:val="00D46FFD"/>
    <w:rsid w:val="00D52E91"/>
    <w:rsid w:val="00D7052F"/>
    <w:rsid w:val="00D900E6"/>
    <w:rsid w:val="00D96186"/>
    <w:rsid w:val="00DB1C44"/>
    <w:rsid w:val="00DD274A"/>
    <w:rsid w:val="00DD3B9C"/>
    <w:rsid w:val="00DD607A"/>
    <w:rsid w:val="00DF32A4"/>
    <w:rsid w:val="00DF7667"/>
    <w:rsid w:val="00E05957"/>
    <w:rsid w:val="00E15726"/>
    <w:rsid w:val="00E20F39"/>
    <w:rsid w:val="00E33702"/>
    <w:rsid w:val="00E43CF6"/>
    <w:rsid w:val="00E52394"/>
    <w:rsid w:val="00E57495"/>
    <w:rsid w:val="00E57802"/>
    <w:rsid w:val="00E60223"/>
    <w:rsid w:val="00E83F24"/>
    <w:rsid w:val="00E917ED"/>
    <w:rsid w:val="00E93650"/>
    <w:rsid w:val="00EA2464"/>
    <w:rsid w:val="00EB1385"/>
    <w:rsid w:val="00EB2A53"/>
    <w:rsid w:val="00EC71F0"/>
    <w:rsid w:val="00EE2B3D"/>
    <w:rsid w:val="00EE462C"/>
    <w:rsid w:val="00F11D88"/>
    <w:rsid w:val="00F120AB"/>
    <w:rsid w:val="00F22781"/>
    <w:rsid w:val="00F33D8F"/>
    <w:rsid w:val="00F45B84"/>
    <w:rsid w:val="00F518F4"/>
    <w:rsid w:val="00F520D4"/>
    <w:rsid w:val="00F543E7"/>
    <w:rsid w:val="00F574CF"/>
    <w:rsid w:val="00F652C3"/>
    <w:rsid w:val="00F74A7E"/>
    <w:rsid w:val="00FC70AA"/>
    <w:rsid w:val="00FD5FEB"/>
    <w:rsid w:val="00FD6D7C"/>
    <w:rsid w:val="00FD716D"/>
    <w:rsid w:val="00FE61B8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20ED50"/>
  <w15:docId w15:val="{0B91756B-0F70-45E0-99DC-1784DE3C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F0"/>
  </w:style>
  <w:style w:type="paragraph" w:styleId="Footer">
    <w:name w:val="footer"/>
    <w:basedOn w:val="Normal"/>
    <w:link w:val="FooterChar"/>
    <w:uiPriority w:val="99"/>
    <w:unhideWhenUsed/>
    <w:rsid w:val="00EC7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F0"/>
  </w:style>
  <w:style w:type="paragraph" w:styleId="Revision">
    <w:name w:val="Revision"/>
    <w:hidden/>
    <w:uiPriority w:val="99"/>
    <w:semiHidden/>
    <w:rsid w:val="004778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6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6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D17A6A8C72C47BEAC3506145DC246" ma:contentTypeVersion="15" ma:contentTypeDescription="Create a new document." ma:contentTypeScope="" ma:versionID="6e8ae0927df2a01ac40849931283cc72">
  <xsd:schema xmlns:xsd="http://www.w3.org/2001/XMLSchema" xmlns:xs="http://www.w3.org/2001/XMLSchema" xmlns:p="http://schemas.microsoft.com/office/2006/metadata/properties" xmlns:ns2="a13239f5-6ebb-44b4-acca-97afb35a5353" xmlns:ns3="ccb5f668-16a2-41d7-bfba-1e0fd43199be" targetNamespace="http://schemas.microsoft.com/office/2006/metadata/properties" ma:root="true" ma:fieldsID="0f8b518e8ab582e9ef488544bd7e0d0d" ns2:_="" ns3:_="">
    <xsd:import namespace="a13239f5-6ebb-44b4-acca-97afb35a5353"/>
    <xsd:import namespace="ccb5f668-16a2-41d7-bfba-1e0fd4319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39f5-6ebb-44b4-acca-97afb35a5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aec350-ce71-4557-8aca-23ea8c310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5f668-16a2-41d7-bfba-1e0fd431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25ead9-740c-4e6c-bdd9-bc73ccba9438}" ma:internalName="TaxCatchAll" ma:showField="CatchAllData" ma:web="ccb5f668-16a2-41d7-bfba-1e0fd4319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b5f668-16a2-41d7-bfba-1e0fd43199be" xsi:nil="true"/>
    <lcf76f155ced4ddcb4097134ff3c332f xmlns="a13239f5-6ebb-44b4-acca-97afb35a53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CD9D96-63EC-4847-A6D6-2DBB9AC50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39f5-6ebb-44b4-acca-97afb35a5353"/>
    <ds:schemaRef ds:uri="ccb5f668-16a2-41d7-bfba-1e0fd431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8889A-DFC6-447C-9CE2-D12DEE9FC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0E3C9-AF49-4A86-8EAE-287360B203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C7B370-68ED-4EC5-A753-10E620C968FF}">
  <ds:schemaRefs>
    <ds:schemaRef ds:uri="http://schemas.microsoft.com/office/2006/metadata/properties"/>
    <ds:schemaRef ds:uri="http://schemas.microsoft.com/office/infopath/2007/PartnerControls"/>
    <ds:schemaRef ds:uri="ccb5f668-16a2-41d7-bfba-1e0fd43199be"/>
    <ds:schemaRef ds:uri="a13239f5-6ebb-44b4-acca-97afb35a5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Hudson</dc:creator>
  <cp:lastModifiedBy>Vicky Wright</cp:lastModifiedBy>
  <cp:revision>9</cp:revision>
  <cp:lastPrinted>2019-06-11T15:32:00Z</cp:lastPrinted>
  <dcterms:created xsi:type="dcterms:W3CDTF">2024-07-09T22:05:00Z</dcterms:created>
  <dcterms:modified xsi:type="dcterms:W3CDTF">2024-07-29T15:10:00Z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0x0101006935B40F4A4FCB49875094A78B66078D</vt:lpwstr>
  </property>
  <property fmtid="{D5CDD505-2E9C-101B-9397-08002B2CF9AE}" pid="3" name="MediaServiceImageTags">
    <vt:lpwstr/>
  </property>
</Properties>
</file>