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4403" w14:textId="77777777" w:rsidR="008375B6" w:rsidRDefault="008375B6" w:rsidP="00B12678">
      <w:pPr>
        <w:tabs>
          <w:tab w:val="left" w:pos="1985"/>
        </w:tabs>
        <w:jc w:val="both"/>
      </w:pPr>
    </w:p>
    <w:p w14:paraId="0CAADB05" w14:textId="77777777" w:rsidR="0077736A" w:rsidRDefault="0077736A" w:rsidP="00B12678">
      <w:pPr>
        <w:jc w:val="both"/>
      </w:pPr>
    </w:p>
    <w:p w14:paraId="11A0FD93" w14:textId="77777777" w:rsidR="0077736A" w:rsidRDefault="00E46FBC" w:rsidP="00B12678">
      <w:pPr>
        <w:jc w:val="right"/>
      </w:pPr>
      <w:r>
        <w:rPr>
          <w:noProof/>
          <w:sz w:val="60"/>
          <w:szCs w:val="60"/>
        </w:rPr>
        <w:drawing>
          <wp:inline distT="0" distB="0" distL="0" distR="0" wp14:anchorId="14E0EE0C" wp14:editId="79EA8E34">
            <wp:extent cx="30765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609600"/>
                    </a:xfrm>
                    <a:prstGeom prst="rect">
                      <a:avLst/>
                    </a:prstGeom>
                    <a:noFill/>
                    <a:ln>
                      <a:noFill/>
                    </a:ln>
                  </pic:spPr>
                </pic:pic>
              </a:graphicData>
            </a:graphic>
          </wp:inline>
        </w:drawing>
      </w:r>
    </w:p>
    <w:p w14:paraId="682CB110" w14:textId="77777777" w:rsidR="0077736A" w:rsidRDefault="0077736A" w:rsidP="00B12678">
      <w:pPr>
        <w:jc w:val="both"/>
      </w:pPr>
    </w:p>
    <w:p w14:paraId="1591A9A7" w14:textId="77777777" w:rsidR="0077736A" w:rsidRDefault="0077736A" w:rsidP="00B12678">
      <w:pPr>
        <w:jc w:val="both"/>
      </w:pPr>
    </w:p>
    <w:p w14:paraId="1026224B" w14:textId="77777777" w:rsidR="0077736A" w:rsidRDefault="0077736A" w:rsidP="00B12678">
      <w:pPr>
        <w:jc w:val="both"/>
      </w:pPr>
    </w:p>
    <w:p w14:paraId="21FE5AAF" w14:textId="77777777" w:rsidR="0077736A" w:rsidRDefault="0077736A" w:rsidP="00B12678">
      <w:pPr>
        <w:jc w:val="both"/>
      </w:pPr>
    </w:p>
    <w:p w14:paraId="35E9B155" w14:textId="77777777" w:rsidR="0077736A" w:rsidRDefault="0077736A" w:rsidP="00B12678">
      <w:pPr>
        <w:jc w:val="both"/>
      </w:pPr>
    </w:p>
    <w:p w14:paraId="6144E7D6" w14:textId="77777777" w:rsidR="0077736A" w:rsidRDefault="0077736A" w:rsidP="00B12678">
      <w:pPr>
        <w:jc w:val="both"/>
      </w:pPr>
    </w:p>
    <w:p w14:paraId="2B7EF467" w14:textId="77777777" w:rsidR="0077736A" w:rsidRDefault="0077736A" w:rsidP="00B12678">
      <w:pPr>
        <w:jc w:val="both"/>
      </w:pPr>
    </w:p>
    <w:p w14:paraId="4072F054" w14:textId="02E90831" w:rsidR="0077736A" w:rsidRDefault="0077736A" w:rsidP="00B12678">
      <w:pPr>
        <w:jc w:val="both"/>
      </w:pPr>
    </w:p>
    <w:p w14:paraId="40EBE843" w14:textId="77777777" w:rsidR="00603F2C" w:rsidRDefault="00603F2C" w:rsidP="00B12678">
      <w:pPr>
        <w:jc w:val="both"/>
      </w:pPr>
    </w:p>
    <w:p w14:paraId="147AA959" w14:textId="77777777" w:rsidR="0077736A" w:rsidRDefault="0077736A" w:rsidP="00B12678">
      <w:pPr>
        <w:jc w:val="both"/>
      </w:pPr>
    </w:p>
    <w:p w14:paraId="40BF8536" w14:textId="77777777" w:rsidR="0077736A" w:rsidRDefault="0077736A" w:rsidP="00B12678">
      <w:pPr>
        <w:jc w:val="both"/>
      </w:pPr>
    </w:p>
    <w:p w14:paraId="0E664635" w14:textId="77777777" w:rsidR="0077736A" w:rsidRDefault="0077736A" w:rsidP="00B12678">
      <w:pPr>
        <w:jc w:val="both"/>
      </w:pPr>
    </w:p>
    <w:p w14:paraId="696E9A05" w14:textId="77777777" w:rsidR="0077736A" w:rsidRDefault="0077736A" w:rsidP="00B12678">
      <w:pPr>
        <w:jc w:val="both"/>
      </w:pPr>
    </w:p>
    <w:p w14:paraId="76A51D64" w14:textId="77777777" w:rsidR="0077736A" w:rsidRDefault="0077736A" w:rsidP="00B12678">
      <w:pPr>
        <w:jc w:val="both"/>
      </w:pPr>
    </w:p>
    <w:p w14:paraId="37658229" w14:textId="77777777" w:rsidR="0077736A" w:rsidRDefault="0077736A" w:rsidP="00B12678">
      <w:pPr>
        <w:jc w:val="center"/>
      </w:pPr>
      <w:r>
        <w:rPr>
          <w:rFonts w:ascii="Century Gothic" w:hAnsi="Century Gothic"/>
          <w:color w:val="0072CE"/>
          <w:sz w:val="60"/>
          <w:szCs w:val="60"/>
        </w:rPr>
        <w:t>Fire Safety Policy</w:t>
      </w:r>
    </w:p>
    <w:p w14:paraId="4C3F2A0C" w14:textId="77777777" w:rsidR="0077736A" w:rsidRDefault="0077736A" w:rsidP="00B12678">
      <w:pPr>
        <w:jc w:val="both"/>
      </w:pPr>
    </w:p>
    <w:p w14:paraId="2E3CEF51" w14:textId="77777777" w:rsidR="0077736A" w:rsidRDefault="0077736A" w:rsidP="00B12678">
      <w:pPr>
        <w:jc w:val="center"/>
      </w:pPr>
    </w:p>
    <w:p w14:paraId="72B5D1E9" w14:textId="77777777" w:rsidR="0077736A" w:rsidRDefault="0077736A" w:rsidP="00B12678">
      <w:pPr>
        <w:jc w:val="both"/>
      </w:pPr>
    </w:p>
    <w:p w14:paraId="52205FDC" w14:textId="77777777" w:rsidR="0077736A" w:rsidRDefault="0077736A" w:rsidP="00B12678">
      <w:pPr>
        <w:jc w:val="both"/>
      </w:pPr>
    </w:p>
    <w:p w14:paraId="57781B4B" w14:textId="2F0D641D" w:rsidR="0077736A" w:rsidRDefault="0077736A" w:rsidP="00B12678">
      <w:pPr>
        <w:jc w:val="both"/>
      </w:pPr>
    </w:p>
    <w:p w14:paraId="2FC680FB" w14:textId="2DCB8083" w:rsidR="00603F2C" w:rsidRDefault="00603F2C" w:rsidP="00B12678">
      <w:pPr>
        <w:jc w:val="both"/>
      </w:pPr>
    </w:p>
    <w:p w14:paraId="730DFAC0" w14:textId="77777777" w:rsidR="003119D3" w:rsidRDefault="003119D3" w:rsidP="00B12678">
      <w:pPr>
        <w:jc w:val="both"/>
      </w:pPr>
    </w:p>
    <w:p w14:paraId="07BB2620" w14:textId="77777777" w:rsidR="00603F2C" w:rsidRDefault="00603F2C" w:rsidP="00B12678">
      <w:pPr>
        <w:jc w:val="both"/>
      </w:pPr>
    </w:p>
    <w:p w14:paraId="035CF858" w14:textId="77777777" w:rsidR="0077736A" w:rsidRDefault="0077736A" w:rsidP="00B12678">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72"/>
        <w:gridCol w:w="1930"/>
        <w:gridCol w:w="2282"/>
      </w:tblGrid>
      <w:tr w:rsidR="0077736A" w:rsidRPr="00591F21" w14:paraId="20706913" w14:textId="77777777" w:rsidTr="00591F21">
        <w:tc>
          <w:tcPr>
            <w:tcW w:w="1838" w:type="dxa"/>
            <w:shd w:val="clear" w:color="auto" w:fill="EEECE1"/>
          </w:tcPr>
          <w:p w14:paraId="176F1013"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Reference</w:t>
            </w:r>
          </w:p>
        </w:tc>
        <w:tc>
          <w:tcPr>
            <w:tcW w:w="3272" w:type="dxa"/>
            <w:shd w:val="clear" w:color="auto" w:fill="auto"/>
          </w:tcPr>
          <w:p w14:paraId="1AC876D5"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Compliance/Fire safety</w:t>
            </w:r>
          </w:p>
        </w:tc>
        <w:tc>
          <w:tcPr>
            <w:tcW w:w="1930" w:type="dxa"/>
            <w:shd w:val="clear" w:color="auto" w:fill="EEECE1"/>
          </w:tcPr>
          <w:p w14:paraId="17837943"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Version</w:t>
            </w:r>
          </w:p>
        </w:tc>
        <w:tc>
          <w:tcPr>
            <w:tcW w:w="2282" w:type="dxa"/>
            <w:shd w:val="clear" w:color="auto" w:fill="auto"/>
          </w:tcPr>
          <w:p w14:paraId="4ABA09FC" w14:textId="77777777" w:rsidR="0077736A" w:rsidRDefault="003629D6" w:rsidP="00B12678">
            <w:pPr>
              <w:rPr>
                <w:rFonts w:ascii="Calibri" w:eastAsia="Calibri" w:hAnsi="Calibri"/>
                <w:sz w:val="28"/>
                <w:szCs w:val="28"/>
                <w:lang w:eastAsia="en-US"/>
              </w:rPr>
            </w:pPr>
            <w:r w:rsidRPr="00591F21">
              <w:rPr>
                <w:rFonts w:ascii="Calibri" w:eastAsia="Calibri" w:hAnsi="Calibri"/>
                <w:sz w:val="28"/>
                <w:szCs w:val="28"/>
                <w:lang w:eastAsia="en-US"/>
              </w:rPr>
              <w:t>4</w:t>
            </w:r>
          </w:p>
          <w:p w14:paraId="29CFB571" w14:textId="09277B83" w:rsidR="00727660" w:rsidRPr="00591F21" w:rsidRDefault="00727660" w:rsidP="00B12678">
            <w:pPr>
              <w:rPr>
                <w:rFonts w:ascii="Calibri" w:eastAsia="Calibri" w:hAnsi="Calibri"/>
                <w:sz w:val="28"/>
                <w:szCs w:val="28"/>
                <w:lang w:eastAsia="en-US"/>
              </w:rPr>
            </w:pPr>
          </w:p>
        </w:tc>
      </w:tr>
      <w:tr w:rsidR="0077736A" w:rsidRPr="00591F21" w14:paraId="48D09410" w14:textId="77777777" w:rsidTr="00591F21">
        <w:tc>
          <w:tcPr>
            <w:tcW w:w="1838" w:type="dxa"/>
            <w:shd w:val="clear" w:color="auto" w:fill="EEECE1"/>
          </w:tcPr>
          <w:p w14:paraId="137BBA26"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Staff affected</w:t>
            </w:r>
          </w:p>
        </w:tc>
        <w:tc>
          <w:tcPr>
            <w:tcW w:w="3272" w:type="dxa"/>
            <w:shd w:val="clear" w:color="auto" w:fill="auto"/>
          </w:tcPr>
          <w:p w14:paraId="0CA0F8C8"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All staff</w:t>
            </w:r>
          </w:p>
        </w:tc>
        <w:tc>
          <w:tcPr>
            <w:tcW w:w="1930" w:type="dxa"/>
            <w:shd w:val="clear" w:color="auto" w:fill="EEECE1"/>
          </w:tcPr>
          <w:p w14:paraId="1674D43F" w14:textId="77777777" w:rsidR="0077736A" w:rsidRPr="00591F21" w:rsidRDefault="0077736A" w:rsidP="00B12678">
            <w:pPr>
              <w:rPr>
                <w:rFonts w:ascii="Calibri" w:eastAsia="Calibri" w:hAnsi="Calibri"/>
                <w:sz w:val="28"/>
                <w:szCs w:val="28"/>
                <w:lang w:eastAsia="en-US"/>
              </w:rPr>
            </w:pPr>
            <w:r w:rsidRPr="00591F21">
              <w:rPr>
                <w:rFonts w:ascii="Calibri" w:eastAsia="Calibri" w:hAnsi="Calibri"/>
                <w:sz w:val="28"/>
                <w:szCs w:val="28"/>
                <w:lang w:eastAsia="en-US"/>
              </w:rPr>
              <w:t>Issue date</w:t>
            </w:r>
          </w:p>
        </w:tc>
        <w:tc>
          <w:tcPr>
            <w:tcW w:w="2282" w:type="dxa"/>
            <w:shd w:val="clear" w:color="auto" w:fill="auto"/>
          </w:tcPr>
          <w:p w14:paraId="3C4BF896" w14:textId="77777777" w:rsidR="0077736A" w:rsidRDefault="0077736A" w:rsidP="00B12678">
            <w:pPr>
              <w:rPr>
                <w:rFonts w:ascii="Calibri" w:eastAsia="Calibri" w:hAnsi="Calibri"/>
                <w:sz w:val="28"/>
                <w:szCs w:val="28"/>
                <w:lang w:eastAsia="en-US"/>
              </w:rPr>
            </w:pPr>
          </w:p>
          <w:p w14:paraId="1AFF2239" w14:textId="5E1DE7A1" w:rsidR="00727660" w:rsidRPr="00591F21" w:rsidRDefault="00727660" w:rsidP="00B12678">
            <w:pPr>
              <w:rPr>
                <w:rFonts w:ascii="Calibri" w:eastAsia="Calibri" w:hAnsi="Calibri"/>
                <w:sz w:val="28"/>
                <w:szCs w:val="28"/>
                <w:lang w:eastAsia="en-US"/>
              </w:rPr>
            </w:pPr>
          </w:p>
        </w:tc>
      </w:tr>
      <w:tr w:rsidR="00AC2A3A" w:rsidRPr="00591F21" w14:paraId="56CDCC57" w14:textId="77777777" w:rsidTr="00591F21">
        <w:tc>
          <w:tcPr>
            <w:tcW w:w="1838" w:type="dxa"/>
            <w:shd w:val="clear" w:color="auto" w:fill="EEECE1"/>
          </w:tcPr>
          <w:p w14:paraId="04CCFBDD" w14:textId="77777777"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Approved by</w:t>
            </w:r>
          </w:p>
        </w:tc>
        <w:tc>
          <w:tcPr>
            <w:tcW w:w="3272" w:type="dxa"/>
            <w:shd w:val="clear" w:color="auto" w:fill="auto"/>
          </w:tcPr>
          <w:p w14:paraId="267CB15E" w14:textId="6A90B313" w:rsidR="00AC2A3A" w:rsidRPr="00591F21" w:rsidRDefault="00A3376E" w:rsidP="00B12678">
            <w:pPr>
              <w:rPr>
                <w:rFonts w:ascii="Calibri" w:eastAsia="Calibri" w:hAnsi="Calibri"/>
                <w:sz w:val="28"/>
                <w:szCs w:val="28"/>
                <w:lang w:eastAsia="en-US"/>
              </w:rPr>
            </w:pPr>
            <w:r>
              <w:rPr>
                <w:rFonts w:ascii="Calibri" w:eastAsia="Calibri" w:hAnsi="Calibri"/>
                <w:sz w:val="28"/>
                <w:szCs w:val="28"/>
                <w:lang w:eastAsia="en-US"/>
              </w:rPr>
              <w:t>Board</w:t>
            </w:r>
          </w:p>
        </w:tc>
        <w:tc>
          <w:tcPr>
            <w:tcW w:w="1930" w:type="dxa"/>
            <w:shd w:val="clear" w:color="auto" w:fill="EEECE1"/>
          </w:tcPr>
          <w:p w14:paraId="18AD30C7" w14:textId="2B25153D"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 xml:space="preserve">Last Review Date </w:t>
            </w:r>
          </w:p>
        </w:tc>
        <w:tc>
          <w:tcPr>
            <w:tcW w:w="2282" w:type="dxa"/>
            <w:shd w:val="clear" w:color="auto" w:fill="auto"/>
          </w:tcPr>
          <w:p w14:paraId="4734FCA9" w14:textId="120A9880" w:rsidR="00AC2A3A" w:rsidRPr="00591F21" w:rsidRDefault="00A3376E" w:rsidP="00B12678">
            <w:pPr>
              <w:rPr>
                <w:rFonts w:ascii="Calibri" w:eastAsia="Calibri" w:hAnsi="Calibri"/>
                <w:sz w:val="28"/>
                <w:szCs w:val="28"/>
                <w:lang w:eastAsia="en-US"/>
              </w:rPr>
            </w:pPr>
            <w:r>
              <w:rPr>
                <w:rFonts w:ascii="Calibri" w:eastAsia="Calibri" w:hAnsi="Calibri"/>
                <w:sz w:val="28"/>
                <w:szCs w:val="28"/>
                <w:lang w:eastAsia="en-US"/>
              </w:rPr>
              <w:t xml:space="preserve"> 13 July 2021</w:t>
            </w:r>
          </w:p>
        </w:tc>
      </w:tr>
      <w:tr w:rsidR="00AC2A3A" w:rsidRPr="00591F21" w14:paraId="0E7D26B2" w14:textId="77777777" w:rsidTr="00591F21">
        <w:tc>
          <w:tcPr>
            <w:tcW w:w="1838" w:type="dxa"/>
            <w:shd w:val="clear" w:color="auto" w:fill="EEECE1"/>
          </w:tcPr>
          <w:p w14:paraId="3025037E" w14:textId="77777777"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Lead Officer</w:t>
            </w:r>
          </w:p>
        </w:tc>
        <w:tc>
          <w:tcPr>
            <w:tcW w:w="3272" w:type="dxa"/>
            <w:shd w:val="clear" w:color="auto" w:fill="auto"/>
          </w:tcPr>
          <w:p w14:paraId="1703C31B" w14:textId="47DE5D4E"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Director of Operations</w:t>
            </w:r>
          </w:p>
        </w:tc>
        <w:tc>
          <w:tcPr>
            <w:tcW w:w="1930" w:type="dxa"/>
            <w:shd w:val="clear" w:color="auto" w:fill="EEECE1"/>
          </w:tcPr>
          <w:p w14:paraId="06609D7B" w14:textId="1655CEB8"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Target Review Date</w:t>
            </w:r>
          </w:p>
        </w:tc>
        <w:tc>
          <w:tcPr>
            <w:tcW w:w="2282" w:type="dxa"/>
            <w:shd w:val="clear" w:color="auto" w:fill="auto"/>
          </w:tcPr>
          <w:p w14:paraId="438633C7" w14:textId="3B89315B" w:rsidR="00AC2A3A" w:rsidRPr="00591F21" w:rsidRDefault="00A3376E" w:rsidP="00B12678">
            <w:pPr>
              <w:rPr>
                <w:rFonts w:ascii="Calibri" w:eastAsia="Calibri" w:hAnsi="Calibri"/>
                <w:sz w:val="28"/>
                <w:szCs w:val="28"/>
                <w:lang w:eastAsia="en-US"/>
              </w:rPr>
            </w:pPr>
            <w:r>
              <w:rPr>
                <w:rFonts w:ascii="Calibri" w:eastAsia="Calibri" w:hAnsi="Calibri"/>
                <w:sz w:val="28"/>
                <w:szCs w:val="28"/>
                <w:lang w:eastAsia="en-US"/>
              </w:rPr>
              <w:t xml:space="preserve"> July 2024</w:t>
            </w:r>
          </w:p>
        </w:tc>
      </w:tr>
      <w:tr w:rsidR="00AC2A3A" w:rsidRPr="00591F21" w14:paraId="17E72AC7" w14:textId="77777777" w:rsidTr="00591F21">
        <w:tc>
          <w:tcPr>
            <w:tcW w:w="1838" w:type="dxa"/>
            <w:shd w:val="clear" w:color="auto" w:fill="EEECE1"/>
          </w:tcPr>
          <w:p w14:paraId="7242467D" w14:textId="77777777" w:rsidR="00AC2A3A" w:rsidRPr="00591F21" w:rsidRDefault="00AC2A3A" w:rsidP="00B12678">
            <w:pPr>
              <w:rPr>
                <w:rFonts w:ascii="Calibri" w:eastAsia="Calibri" w:hAnsi="Calibri"/>
                <w:sz w:val="28"/>
                <w:szCs w:val="28"/>
                <w:lang w:eastAsia="en-US"/>
              </w:rPr>
            </w:pPr>
          </w:p>
        </w:tc>
        <w:tc>
          <w:tcPr>
            <w:tcW w:w="3272" w:type="dxa"/>
            <w:shd w:val="clear" w:color="auto" w:fill="auto"/>
          </w:tcPr>
          <w:p w14:paraId="739722B7" w14:textId="77777777" w:rsidR="00AC2A3A" w:rsidRPr="00591F21" w:rsidRDefault="00AC2A3A" w:rsidP="00B12678">
            <w:pPr>
              <w:rPr>
                <w:rFonts w:ascii="Calibri" w:eastAsia="Calibri" w:hAnsi="Calibri"/>
                <w:sz w:val="28"/>
                <w:szCs w:val="28"/>
                <w:lang w:eastAsia="en-US"/>
              </w:rPr>
            </w:pPr>
          </w:p>
        </w:tc>
        <w:tc>
          <w:tcPr>
            <w:tcW w:w="1930" w:type="dxa"/>
            <w:shd w:val="clear" w:color="auto" w:fill="EEECE1"/>
          </w:tcPr>
          <w:p w14:paraId="081BC9AF" w14:textId="33D498F2"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Current Review Date</w:t>
            </w:r>
          </w:p>
        </w:tc>
        <w:tc>
          <w:tcPr>
            <w:tcW w:w="2282" w:type="dxa"/>
            <w:shd w:val="clear" w:color="auto" w:fill="auto"/>
          </w:tcPr>
          <w:p w14:paraId="2D14F426" w14:textId="19373525" w:rsidR="00AC2A3A" w:rsidRPr="00591F21" w:rsidRDefault="00A3376E" w:rsidP="00B12678">
            <w:pPr>
              <w:ind w:right="-416"/>
              <w:rPr>
                <w:rFonts w:ascii="Calibri" w:eastAsia="Calibri" w:hAnsi="Calibri"/>
                <w:sz w:val="28"/>
                <w:szCs w:val="28"/>
                <w:lang w:eastAsia="en-US"/>
              </w:rPr>
            </w:pPr>
            <w:r>
              <w:rPr>
                <w:rFonts w:ascii="Calibri" w:eastAsia="Calibri" w:hAnsi="Calibri"/>
                <w:sz w:val="28"/>
                <w:szCs w:val="28"/>
                <w:lang w:eastAsia="en-US"/>
              </w:rPr>
              <w:t>September 2024</w:t>
            </w:r>
          </w:p>
        </w:tc>
      </w:tr>
      <w:tr w:rsidR="00AC2A3A" w:rsidRPr="00591F21" w14:paraId="57611BEE" w14:textId="77777777" w:rsidTr="00591F21">
        <w:tc>
          <w:tcPr>
            <w:tcW w:w="1838" w:type="dxa"/>
            <w:shd w:val="clear" w:color="auto" w:fill="EEECE1"/>
          </w:tcPr>
          <w:p w14:paraId="5BBAF300" w14:textId="607CE7A9" w:rsidR="00AC2A3A" w:rsidRPr="00591F21" w:rsidRDefault="00AC2A3A" w:rsidP="00B12678">
            <w:pPr>
              <w:rPr>
                <w:rFonts w:ascii="Calibri" w:eastAsia="Calibri" w:hAnsi="Calibri"/>
                <w:sz w:val="28"/>
                <w:szCs w:val="28"/>
                <w:lang w:eastAsia="en-US"/>
              </w:rPr>
            </w:pPr>
          </w:p>
          <w:p w14:paraId="32D0365B" w14:textId="77777777" w:rsidR="00AC2A3A" w:rsidRPr="00591F21" w:rsidRDefault="00AC2A3A" w:rsidP="00B12678">
            <w:pPr>
              <w:jc w:val="right"/>
              <w:rPr>
                <w:rFonts w:ascii="Calibri" w:eastAsia="Calibri" w:hAnsi="Calibri"/>
                <w:sz w:val="28"/>
                <w:szCs w:val="28"/>
                <w:lang w:eastAsia="en-US"/>
              </w:rPr>
            </w:pPr>
          </w:p>
        </w:tc>
        <w:tc>
          <w:tcPr>
            <w:tcW w:w="3272" w:type="dxa"/>
            <w:shd w:val="clear" w:color="auto" w:fill="auto"/>
          </w:tcPr>
          <w:p w14:paraId="2E093A04" w14:textId="77777777" w:rsidR="00AC2A3A" w:rsidRPr="00591F21" w:rsidRDefault="00AC2A3A" w:rsidP="00B12678">
            <w:pPr>
              <w:rPr>
                <w:rFonts w:ascii="Calibri" w:eastAsia="Calibri" w:hAnsi="Calibri"/>
                <w:sz w:val="28"/>
                <w:szCs w:val="28"/>
                <w:lang w:eastAsia="en-US"/>
              </w:rPr>
            </w:pPr>
          </w:p>
        </w:tc>
        <w:tc>
          <w:tcPr>
            <w:tcW w:w="1930" w:type="dxa"/>
            <w:shd w:val="clear" w:color="auto" w:fill="EEECE1"/>
          </w:tcPr>
          <w:p w14:paraId="33037E53" w14:textId="7032526E" w:rsidR="00AC2A3A" w:rsidRPr="00591F21" w:rsidRDefault="00AC2A3A" w:rsidP="00B12678">
            <w:pPr>
              <w:rPr>
                <w:rFonts w:ascii="Calibri" w:eastAsia="Calibri" w:hAnsi="Calibri"/>
                <w:sz w:val="28"/>
                <w:szCs w:val="28"/>
                <w:lang w:eastAsia="en-US"/>
              </w:rPr>
            </w:pPr>
            <w:r w:rsidRPr="00591F21">
              <w:rPr>
                <w:rFonts w:ascii="Calibri" w:eastAsia="Calibri" w:hAnsi="Calibri"/>
                <w:sz w:val="28"/>
                <w:szCs w:val="28"/>
                <w:lang w:eastAsia="en-US"/>
              </w:rPr>
              <w:t>Next Review Date</w:t>
            </w:r>
          </w:p>
        </w:tc>
        <w:tc>
          <w:tcPr>
            <w:tcW w:w="2282" w:type="dxa"/>
            <w:shd w:val="clear" w:color="auto" w:fill="auto"/>
          </w:tcPr>
          <w:p w14:paraId="0E6C6CB7" w14:textId="77777777" w:rsidR="00D2365C" w:rsidRDefault="00A3376E" w:rsidP="00B12678">
            <w:pPr>
              <w:ind w:right="-416"/>
              <w:rPr>
                <w:rFonts w:ascii="Calibri" w:eastAsia="Calibri" w:hAnsi="Calibri"/>
                <w:sz w:val="28"/>
                <w:szCs w:val="28"/>
                <w:lang w:eastAsia="en-US"/>
              </w:rPr>
            </w:pPr>
            <w:r>
              <w:rPr>
                <w:rFonts w:ascii="Calibri" w:eastAsia="Calibri" w:hAnsi="Calibri"/>
                <w:sz w:val="28"/>
                <w:szCs w:val="28"/>
                <w:lang w:eastAsia="en-US"/>
              </w:rPr>
              <w:t>September 2027</w:t>
            </w:r>
          </w:p>
          <w:p w14:paraId="28120BF2" w14:textId="4235CCBF" w:rsidR="00AC2A3A" w:rsidRPr="00591F21" w:rsidRDefault="00A3376E" w:rsidP="00B12678">
            <w:pPr>
              <w:ind w:right="-416"/>
              <w:rPr>
                <w:rFonts w:ascii="Calibri" w:eastAsia="Calibri" w:hAnsi="Calibri"/>
                <w:sz w:val="28"/>
                <w:szCs w:val="28"/>
                <w:lang w:eastAsia="en-US"/>
              </w:rPr>
            </w:pPr>
            <w:r>
              <w:rPr>
                <w:rFonts w:ascii="Calibri" w:eastAsia="Calibri" w:hAnsi="Calibri"/>
                <w:sz w:val="28"/>
                <w:szCs w:val="28"/>
                <w:lang w:eastAsia="en-US"/>
              </w:rPr>
              <w:t xml:space="preserve"> </w:t>
            </w:r>
          </w:p>
        </w:tc>
      </w:tr>
    </w:tbl>
    <w:p w14:paraId="07D0190F" w14:textId="77777777" w:rsidR="004E480B" w:rsidRDefault="004E480B" w:rsidP="00B12678">
      <w:pPr>
        <w:rPr>
          <w:rFonts w:ascii="Calibri" w:hAnsi="Calibri" w:cs="Calibri"/>
          <w:color w:val="702F8A"/>
          <w:sz w:val="28"/>
          <w:szCs w:val="28"/>
        </w:rPr>
      </w:pPr>
      <w:r>
        <w:rPr>
          <w:rFonts w:ascii="Calibri" w:hAnsi="Calibri" w:cs="Calibri"/>
          <w:color w:val="702F8A"/>
          <w:sz w:val="28"/>
          <w:szCs w:val="28"/>
        </w:rPr>
        <w:br w:type="page"/>
      </w:r>
    </w:p>
    <w:sdt>
      <w:sdtPr>
        <w:rPr>
          <w:rFonts w:ascii="Arial" w:eastAsia="Times New Roman" w:hAnsi="Arial" w:cs="Times New Roman"/>
          <w:color w:val="auto"/>
          <w:sz w:val="24"/>
          <w:szCs w:val="20"/>
          <w:lang w:val="en-GB" w:eastAsia="en-GB"/>
        </w:rPr>
        <w:id w:val="-2120293220"/>
        <w:docPartObj>
          <w:docPartGallery w:val="Table of Contents"/>
          <w:docPartUnique/>
        </w:docPartObj>
      </w:sdtPr>
      <w:sdtEndPr>
        <w:rPr>
          <w:b/>
          <w:bCs/>
          <w:noProof/>
        </w:rPr>
      </w:sdtEndPr>
      <w:sdtContent>
        <w:p w14:paraId="37461E3B" w14:textId="61C43FC6" w:rsidR="004E480B" w:rsidRPr="00166A4B" w:rsidRDefault="004E480B" w:rsidP="00B12678">
          <w:pPr>
            <w:pStyle w:val="TOCHeading"/>
            <w:spacing w:line="240" w:lineRule="auto"/>
            <w:rPr>
              <w:b/>
              <w:color w:val="702F8A"/>
            </w:rPr>
          </w:pPr>
          <w:r w:rsidRPr="00166A4B">
            <w:rPr>
              <w:b/>
              <w:color w:val="702F8A"/>
            </w:rPr>
            <w:t>Contents</w:t>
          </w:r>
        </w:p>
        <w:p w14:paraId="0FEC791C" w14:textId="0C0CA76F" w:rsidR="009047EE" w:rsidRDefault="00132DE7">
          <w:pPr>
            <w:pStyle w:val="TOC1"/>
            <w:rPr>
              <w:rFonts w:eastAsiaTheme="minorEastAsia" w:cstheme="minorBidi"/>
              <w:noProof/>
              <w:color w:val="auto"/>
              <w:sz w:val="22"/>
              <w:szCs w:val="22"/>
            </w:rPr>
          </w:pPr>
          <w:r>
            <w:rPr>
              <w:rFonts w:cstheme="minorHAnsi"/>
            </w:rPr>
            <w:fldChar w:fldCharType="begin"/>
          </w:r>
          <w:r>
            <w:rPr>
              <w:rFonts w:cstheme="minorHAnsi"/>
            </w:rPr>
            <w:instrText xml:space="preserve"> TOC \o "1-3" \h \z \u </w:instrText>
          </w:r>
          <w:r>
            <w:rPr>
              <w:rFonts w:cstheme="minorHAnsi"/>
            </w:rPr>
            <w:fldChar w:fldCharType="separate"/>
          </w:r>
          <w:hyperlink w:anchor="_Toc79762740" w:history="1">
            <w:r w:rsidR="009047EE" w:rsidRPr="00072EA0">
              <w:rPr>
                <w:rStyle w:val="Hyperlink"/>
                <w:noProof/>
                <w14:scene3d>
                  <w14:camera w14:prst="orthographicFront"/>
                  <w14:lightRig w14:rig="threePt" w14:dir="t">
                    <w14:rot w14:lat="0" w14:lon="0" w14:rev="0"/>
                  </w14:lightRig>
                </w14:scene3d>
              </w:rPr>
              <w:t>1.</w:t>
            </w:r>
            <w:r w:rsidR="009047EE">
              <w:rPr>
                <w:rFonts w:eastAsiaTheme="minorEastAsia" w:cstheme="minorBidi"/>
                <w:noProof/>
                <w:color w:val="auto"/>
                <w:sz w:val="22"/>
                <w:szCs w:val="22"/>
              </w:rPr>
              <w:tab/>
            </w:r>
            <w:r w:rsidR="009047EE" w:rsidRPr="00072EA0">
              <w:rPr>
                <w:rStyle w:val="Hyperlink"/>
                <w:noProof/>
              </w:rPr>
              <w:t>Introduction and Scope</w:t>
            </w:r>
            <w:r w:rsidR="009047EE">
              <w:rPr>
                <w:noProof/>
                <w:webHidden/>
              </w:rPr>
              <w:tab/>
            </w:r>
            <w:r w:rsidR="009047EE">
              <w:rPr>
                <w:noProof/>
                <w:webHidden/>
              </w:rPr>
              <w:fldChar w:fldCharType="begin"/>
            </w:r>
            <w:r w:rsidR="009047EE">
              <w:rPr>
                <w:noProof/>
                <w:webHidden/>
              </w:rPr>
              <w:instrText xml:space="preserve"> PAGEREF _Toc79762740 \h </w:instrText>
            </w:r>
            <w:r w:rsidR="009047EE">
              <w:rPr>
                <w:noProof/>
                <w:webHidden/>
              </w:rPr>
            </w:r>
            <w:r w:rsidR="009047EE">
              <w:rPr>
                <w:noProof/>
                <w:webHidden/>
              </w:rPr>
              <w:fldChar w:fldCharType="separate"/>
            </w:r>
            <w:r w:rsidR="009047EE">
              <w:rPr>
                <w:noProof/>
                <w:webHidden/>
              </w:rPr>
              <w:t>3</w:t>
            </w:r>
            <w:r w:rsidR="009047EE">
              <w:rPr>
                <w:noProof/>
                <w:webHidden/>
              </w:rPr>
              <w:fldChar w:fldCharType="end"/>
            </w:r>
          </w:hyperlink>
        </w:p>
        <w:p w14:paraId="7DEEE476" w14:textId="3F61AD64" w:rsidR="009047EE" w:rsidRDefault="00282841">
          <w:pPr>
            <w:pStyle w:val="TOC1"/>
            <w:rPr>
              <w:rFonts w:eastAsiaTheme="minorEastAsia" w:cstheme="minorBidi"/>
              <w:noProof/>
              <w:color w:val="auto"/>
              <w:sz w:val="22"/>
              <w:szCs w:val="22"/>
            </w:rPr>
          </w:pPr>
          <w:hyperlink w:anchor="_Toc79762741" w:history="1">
            <w:r w:rsidR="009047EE" w:rsidRPr="00072EA0">
              <w:rPr>
                <w:rStyle w:val="Hyperlink"/>
                <w:noProof/>
                <w14:scene3d>
                  <w14:camera w14:prst="orthographicFront"/>
                  <w14:lightRig w14:rig="threePt" w14:dir="t">
                    <w14:rot w14:lat="0" w14:lon="0" w14:rev="0"/>
                  </w14:lightRig>
                </w14:scene3d>
              </w:rPr>
              <w:t>2.</w:t>
            </w:r>
            <w:r w:rsidR="009047EE">
              <w:rPr>
                <w:rFonts w:eastAsiaTheme="minorEastAsia" w:cstheme="minorBidi"/>
                <w:noProof/>
                <w:color w:val="auto"/>
                <w:sz w:val="22"/>
                <w:szCs w:val="22"/>
              </w:rPr>
              <w:tab/>
            </w:r>
            <w:r w:rsidR="009047EE" w:rsidRPr="00072EA0">
              <w:rPr>
                <w:rStyle w:val="Hyperlink"/>
                <w:noProof/>
              </w:rPr>
              <w:t>Legislation, Guidance and Regulatory Standards</w:t>
            </w:r>
            <w:r w:rsidR="009047EE">
              <w:rPr>
                <w:noProof/>
                <w:webHidden/>
              </w:rPr>
              <w:tab/>
            </w:r>
            <w:r w:rsidR="009047EE">
              <w:rPr>
                <w:noProof/>
                <w:webHidden/>
              </w:rPr>
              <w:fldChar w:fldCharType="begin"/>
            </w:r>
            <w:r w:rsidR="009047EE">
              <w:rPr>
                <w:noProof/>
                <w:webHidden/>
              </w:rPr>
              <w:instrText xml:space="preserve"> PAGEREF _Toc79762741 \h </w:instrText>
            </w:r>
            <w:r w:rsidR="009047EE">
              <w:rPr>
                <w:noProof/>
                <w:webHidden/>
              </w:rPr>
            </w:r>
            <w:r w:rsidR="009047EE">
              <w:rPr>
                <w:noProof/>
                <w:webHidden/>
              </w:rPr>
              <w:fldChar w:fldCharType="separate"/>
            </w:r>
            <w:r w:rsidR="009047EE">
              <w:rPr>
                <w:noProof/>
                <w:webHidden/>
              </w:rPr>
              <w:t>3</w:t>
            </w:r>
            <w:r w:rsidR="009047EE">
              <w:rPr>
                <w:noProof/>
                <w:webHidden/>
              </w:rPr>
              <w:fldChar w:fldCharType="end"/>
            </w:r>
          </w:hyperlink>
        </w:p>
        <w:p w14:paraId="50BF7309" w14:textId="5B23712F" w:rsidR="009047EE" w:rsidRDefault="00282841">
          <w:pPr>
            <w:pStyle w:val="TOC1"/>
            <w:rPr>
              <w:rFonts w:eastAsiaTheme="minorEastAsia" w:cstheme="minorBidi"/>
              <w:noProof/>
              <w:color w:val="auto"/>
              <w:sz w:val="22"/>
              <w:szCs w:val="22"/>
            </w:rPr>
          </w:pPr>
          <w:hyperlink w:anchor="_Toc79762742" w:history="1">
            <w:r w:rsidR="009047EE" w:rsidRPr="00072EA0">
              <w:rPr>
                <w:rStyle w:val="Hyperlink"/>
                <w:noProof/>
                <w14:scene3d>
                  <w14:camera w14:prst="orthographicFront"/>
                  <w14:lightRig w14:rig="threePt" w14:dir="t">
                    <w14:rot w14:lat="0" w14:lon="0" w14:rev="0"/>
                  </w14:lightRig>
                </w14:scene3d>
              </w:rPr>
              <w:t>3.</w:t>
            </w:r>
            <w:r w:rsidR="009047EE">
              <w:rPr>
                <w:rFonts w:eastAsiaTheme="minorEastAsia" w:cstheme="minorBidi"/>
                <w:noProof/>
                <w:color w:val="auto"/>
                <w:sz w:val="22"/>
                <w:szCs w:val="22"/>
              </w:rPr>
              <w:tab/>
            </w:r>
            <w:r w:rsidR="009047EE" w:rsidRPr="00072EA0">
              <w:rPr>
                <w:rStyle w:val="Hyperlink"/>
                <w:noProof/>
              </w:rPr>
              <w:t>Obligations</w:t>
            </w:r>
            <w:r w:rsidR="009047EE">
              <w:rPr>
                <w:noProof/>
                <w:webHidden/>
              </w:rPr>
              <w:tab/>
            </w:r>
            <w:r w:rsidR="009047EE">
              <w:rPr>
                <w:noProof/>
                <w:webHidden/>
              </w:rPr>
              <w:fldChar w:fldCharType="begin"/>
            </w:r>
            <w:r w:rsidR="009047EE">
              <w:rPr>
                <w:noProof/>
                <w:webHidden/>
              </w:rPr>
              <w:instrText xml:space="preserve"> PAGEREF _Toc79762742 \h </w:instrText>
            </w:r>
            <w:r w:rsidR="009047EE">
              <w:rPr>
                <w:noProof/>
                <w:webHidden/>
              </w:rPr>
            </w:r>
            <w:r w:rsidR="009047EE">
              <w:rPr>
                <w:noProof/>
                <w:webHidden/>
              </w:rPr>
              <w:fldChar w:fldCharType="separate"/>
            </w:r>
            <w:r w:rsidR="009047EE">
              <w:rPr>
                <w:noProof/>
                <w:webHidden/>
              </w:rPr>
              <w:t>4</w:t>
            </w:r>
            <w:r w:rsidR="009047EE">
              <w:rPr>
                <w:noProof/>
                <w:webHidden/>
              </w:rPr>
              <w:fldChar w:fldCharType="end"/>
            </w:r>
          </w:hyperlink>
        </w:p>
        <w:p w14:paraId="5BACF6F6" w14:textId="02B4A805" w:rsidR="009047EE" w:rsidRDefault="00282841">
          <w:pPr>
            <w:pStyle w:val="TOC1"/>
            <w:rPr>
              <w:rFonts w:eastAsiaTheme="minorEastAsia" w:cstheme="minorBidi"/>
              <w:noProof/>
              <w:color w:val="auto"/>
              <w:sz w:val="22"/>
              <w:szCs w:val="22"/>
            </w:rPr>
          </w:pPr>
          <w:hyperlink w:anchor="_Toc79762743" w:history="1">
            <w:r w:rsidR="009047EE" w:rsidRPr="00072EA0">
              <w:rPr>
                <w:rStyle w:val="Hyperlink"/>
                <w:noProof/>
                <w14:scene3d>
                  <w14:camera w14:prst="orthographicFront"/>
                  <w14:lightRig w14:rig="threePt" w14:dir="t">
                    <w14:rot w14:lat="0" w14:lon="0" w14:rev="0"/>
                  </w14:lightRig>
                </w14:scene3d>
              </w:rPr>
              <w:t>4.</w:t>
            </w:r>
            <w:r w:rsidR="009047EE">
              <w:rPr>
                <w:rFonts w:eastAsiaTheme="minorEastAsia" w:cstheme="minorBidi"/>
                <w:noProof/>
                <w:color w:val="auto"/>
                <w:sz w:val="22"/>
                <w:szCs w:val="22"/>
              </w:rPr>
              <w:tab/>
            </w:r>
            <w:r w:rsidR="009047EE" w:rsidRPr="00072EA0">
              <w:rPr>
                <w:rStyle w:val="Hyperlink"/>
                <w:noProof/>
              </w:rPr>
              <w:t>Statement of Intent</w:t>
            </w:r>
            <w:r w:rsidR="009047EE">
              <w:rPr>
                <w:noProof/>
                <w:webHidden/>
              </w:rPr>
              <w:tab/>
            </w:r>
            <w:r w:rsidR="009047EE">
              <w:rPr>
                <w:noProof/>
                <w:webHidden/>
              </w:rPr>
              <w:fldChar w:fldCharType="begin"/>
            </w:r>
            <w:r w:rsidR="009047EE">
              <w:rPr>
                <w:noProof/>
                <w:webHidden/>
              </w:rPr>
              <w:instrText xml:space="preserve"> PAGEREF _Toc79762743 \h </w:instrText>
            </w:r>
            <w:r w:rsidR="009047EE">
              <w:rPr>
                <w:noProof/>
                <w:webHidden/>
              </w:rPr>
            </w:r>
            <w:r w:rsidR="009047EE">
              <w:rPr>
                <w:noProof/>
                <w:webHidden/>
              </w:rPr>
              <w:fldChar w:fldCharType="separate"/>
            </w:r>
            <w:r w:rsidR="009047EE">
              <w:rPr>
                <w:noProof/>
                <w:webHidden/>
              </w:rPr>
              <w:t>5</w:t>
            </w:r>
            <w:r w:rsidR="009047EE">
              <w:rPr>
                <w:noProof/>
                <w:webHidden/>
              </w:rPr>
              <w:fldChar w:fldCharType="end"/>
            </w:r>
          </w:hyperlink>
        </w:p>
        <w:p w14:paraId="158B1B47" w14:textId="5494BB27" w:rsidR="009047EE" w:rsidRDefault="00282841">
          <w:pPr>
            <w:pStyle w:val="TOC1"/>
            <w:rPr>
              <w:rFonts w:eastAsiaTheme="minorEastAsia" w:cstheme="minorBidi"/>
              <w:noProof/>
              <w:color w:val="auto"/>
              <w:sz w:val="22"/>
              <w:szCs w:val="22"/>
            </w:rPr>
          </w:pPr>
          <w:hyperlink w:anchor="_Toc79762744" w:history="1">
            <w:r w:rsidR="009047EE" w:rsidRPr="00072EA0">
              <w:rPr>
                <w:rStyle w:val="Hyperlink"/>
                <w:noProof/>
                <w14:scene3d>
                  <w14:camera w14:prst="orthographicFront"/>
                  <w14:lightRig w14:rig="threePt" w14:dir="t">
                    <w14:rot w14:lat="0" w14:lon="0" w14:rev="0"/>
                  </w14:lightRig>
                </w14:scene3d>
              </w:rPr>
              <w:t>5.</w:t>
            </w:r>
            <w:r w:rsidR="009047EE">
              <w:rPr>
                <w:rFonts w:eastAsiaTheme="minorEastAsia" w:cstheme="minorBidi"/>
                <w:noProof/>
                <w:color w:val="auto"/>
                <w:sz w:val="22"/>
                <w:szCs w:val="22"/>
              </w:rPr>
              <w:tab/>
            </w:r>
            <w:r w:rsidR="009047EE" w:rsidRPr="00072EA0">
              <w:rPr>
                <w:rStyle w:val="Hyperlink"/>
                <w:noProof/>
              </w:rPr>
              <w:t>Policy Scope</w:t>
            </w:r>
            <w:r w:rsidR="009047EE">
              <w:rPr>
                <w:noProof/>
                <w:webHidden/>
              </w:rPr>
              <w:tab/>
            </w:r>
            <w:r w:rsidR="009047EE">
              <w:rPr>
                <w:noProof/>
                <w:webHidden/>
              </w:rPr>
              <w:fldChar w:fldCharType="begin"/>
            </w:r>
            <w:r w:rsidR="009047EE">
              <w:rPr>
                <w:noProof/>
                <w:webHidden/>
              </w:rPr>
              <w:instrText xml:space="preserve"> PAGEREF _Toc79762744 \h </w:instrText>
            </w:r>
            <w:r w:rsidR="009047EE">
              <w:rPr>
                <w:noProof/>
                <w:webHidden/>
              </w:rPr>
            </w:r>
            <w:r w:rsidR="009047EE">
              <w:rPr>
                <w:noProof/>
                <w:webHidden/>
              </w:rPr>
              <w:fldChar w:fldCharType="separate"/>
            </w:r>
            <w:r w:rsidR="009047EE">
              <w:rPr>
                <w:noProof/>
                <w:webHidden/>
              </w:rPr>
              <w:t>7</w:t>
            </w:r>
            <w:r w:rsidR="009047EE">
              <w:rPr>
                <w:noProof/>
                <w:webHidden/>
              </w:rPr>
              <w:fldChar w:fldCharType="end"/>
            </w:r>
          </w:hyperlink>
        </w:p>
        <w:p w14:paraId="14A23974" w14:textId="7142E9CD" w:rsidR="009047EE" w:rsidRDefault="00282841">
          <w:pPr>
            <w:pStyle w:val="TOC1"/>
            <w:rPr>
              <w:rFonts w:eastAsiaTheme="minorEastAsia" w:cstheme="minorBidi"/>
              <w:noProof/>
              <w:color w:val="auto"/>
              <w:sz w:val="22"/>
              <w:szCs w:val="22"/>
            </w:rPr>
          </w:pPr>
          <w:hyperlink w:anchor="_Toc79762745" w:history="1">
            <w:r w:rsidR="009047EE" w:rsidRPr="00072EA0">
              <w:rPr>
                <w:rStyle w:val="Hyperlink"/>
                <w:noProof/>
                <w14:scene3d>
                  <w14:camera w14:prst="orthographicFront"/>
                  <w14:lightRig w14:rig="threePt" w14:dir="t">
                    <w14:rot w14:lat="0" w14:lon="0" w14:rev="0"/>
                  </w14:lightRig>
                </w14:scene3d>
              </w:rPr>
              <w:t>6.</w:t>
            </w:r>
            <w:r w:rsidR="009047EE">
              <w:rPr>
                <w:rFonts w:eastAsiaTheme="minorEastAsia" w:cstheme="minorBidi"/>
                <w:noProof/>
                <w:color w:val="auto"/>
                <w:sz w:val="22"/>
                <w:szCs w:val="22"/>
              </w:rPr>
              <w:tab/>
            </w:r>
            <w:r w:rsidR="009047EE" w:rsidRPr="00072EA0">
              <w:rPr>
                <w:rStyle w:val="Hyperlink"/>
                <w:noProof/>
              </w:rPr>
              <w:t>Inspection Programmes</w:t>
            </w:r>
            <w:r w:rsidR="009047EE">
              <w:rPr>
                <w:noProof/>
                <w:webHidden/>
              </w:rPr>
              <w:tab/>
            </w:r>
            <w:r w:rsidR="009047EE">
              <w:rPr>
                <w:noProof/>
                <w:webHidden/>
              </w:rPr>
              <w:fldChar w:fldCharType="begin"/>
            </w:r>
            <w:r w:rsidR="009047EE">
              <w:rPr>
                <w:noProof/>
                <w:webHidden/>
              </w:rPr>
              <w:instrText xml:space="preserve"> PAGEREF _Toc79762745 \h </w:instrText>
            </w:r>
            <w:r w:rsidR="009047EE">
              <w:rPr>
                <w:noProof/>
                <w:webHidden/>
              </w:rPr>
            </w:r>
            <w:r w:rsidR="009047EE">
              <w:rPr>
                <w:noProof/>
                <w:webHidden/>
              </w:rPr>
              <w:fldChar w:fldCharType="separate"/>
            </w:r>
            <w:r w:rsidR="009047EE">
              <w:rPr>
                <w:noProof/>
                <w:webHidden/>
              </w:rPr>
              <w:t>7</w:t>
            </w:r>
            <w:r w:rsidR="009047EE">
              <w:rPr>
                <w:noProof/>
                <w:webHidden/>
              </w:rPr>
              <w:fldChar w:fldCharType="end"/>
            </w:r>
          </w:hyperlink>
        </w:p>
        <w:p w14:paraId="2E82D5A2" w14:textId="087119AC" w:rsidR="009047EE" w:rsidRDefault="00282841">
          <w:pPr>
            <w:pStyle w:val="TOC1"/>
            <w:rPr>
              <w:rFonts w:eastAsiaTheme="minorEastAsia" w:cstheme="minorBidi"/>
              <w:noProof/>
              <w:color w:val="auto"/>
              <w:sz w:val="22"/>
              <w:szCs w:val="22"/>
            </w:rPr>
          </w:pPr>
          <w:hyperlink w:anchor="_Toc79762746" w:history="1">
            <w:r w:rsidR="009047EE" w:rsidRPr="00072EA0">
              <w:rPr>
                <w:rStyle w:val="Hyperlink"/>
                <w:noProof/>
                <w14:scene3d>
                  <w14:camera w14:prst="orthographicFront"/>
                  <w14:lightRig w14:rig="threePt" w14:dir="t">
                    <w14:rot w14:lat="0" w14:lon="0" w14:rev="0"/>
                  </w14:lightRig>
                </w14:scene3d>
              </w:rPr>
              <w:t>7.</w:t>
            </w:r>
            <w:r w:rsidR="009047EE">
              <w:rPr>
                <w:rFonts w:eastAsiaTheme="minorEastAsia" w:cstheme="minorBidi"/>
                <w:noProof/>
                <w:color w:val="auto"/>
                <w:sz w:val="22"/>
                <w:szCs w:val="22"/>
              </w:rPr>
              <w:tab/>
            </w:r>
            <w:r w:rsidR="009047EE" w:rsidRPr="00072EA0">
              <w:rPr>
                <w:rStyle w:val="Hyperlink"/>
                <w:noProof/>
              </w:rPr>
              <w:t>Competency and Training</w:t>
            </w:r>
            <w:r w:rsidR="009047EE">
              <w:rPr>
                <w:noProof/>
                <w:webHidden/>
              </w:rPr>
              <w:tab/>
            </w:r>
            <w:r w:rsidR="009047EE">
              <w:rPr>
                <w:noProof/>
                <w:webHidden/>
              </w:rPr>
              <w:fldChar w:fldCharType="begin"/>
            </w:r>
            <w:r w:rsidR="009047EE">
              <w:rPr>
                <w:noProof/>
                <w:webHidden/>
              </w:rPr>
              <w:instrText xml:space="preserve"> PAGEREF _Toc79762746 \h </w:instrText>
            </w:r>
            <w:r w:rsidR="009047EE">
              <w:rPr>
                <w:noProof/>
                <w:webHidden/>
              </w:rPr>
            </w:r>
            <w:r w:rsidR="009047EE">
              <w:rPr>
                <w:noProof/>
                <w:webHidden/>
              </w:rPr>
              <w:fldChar w:fldCharType="separate"/>
            </w:r>
            <w:r w:rsidR="009047EE">
              <w:rPr>
                <w:noProof/>
                <w:webHidden/>
              </w:rPr>
              <w:t>8</w:t>
            </w:r>
            <w:r w:rsidR="009047EE">
              <w:rPr>
                <w:noProof/>
                <w:webHidden/>
              </w:rPr>
              <w:fldChar w:fldCharType="end"/>
            </w:r>
          </w:hyperlink>
        </w:p>
        <w:p w14:paraId="6C4A6E0F" w14:textId="39C51473" w:rsidR="009047EE" w:rsidRDefault="00282841">
          <w:pPr>
            <w:pStyle w:val="TOC1"/>
            <w:rPr>
              <w:rFonts w:eastAsiaTheme="minorEastAsia" w:cstheme="minorBidi"/>
              <w:noProof/>
              <w:color w:val="auto"/>
              <w:sz w:val="22"/>
              <w:szCs w:val="22"/>
            </w:rPr>
          </w:pPr>
          <w:hyperlink w:anchor="_Toc79762747" w:history="1">
            <w:r w:rsidR="009047EE" w:rsidRPr="00072EA0">
              <w:rPr>
                <w:rStyle w:val="Hyperlink"/>
                <w:noProof/>
                <w14:scene3d>
                  <w14:camera w14:prst="orthographicFront"/>
                  <w14:lightRig w14:rig="threePt" w14:dir="t">
                    <w14:rot w14:lat="0" w14:lon="0" w14:rev="0"/>
                  </w14:lightRig>
                </w14:scene3d>
              </w:rPr>
              <w:t>8.</w:t>
            </w:r>
            <w:r w:rsidR="009047EE">
              <w:rPr>
                <w:rFonts w:eastAsiaTheme="minorEastAsia" w:cstheme="minorBidi"/>
                <w:noProof/>
                <w:color w:val="auto"/>
                <w:sz w:val="22"/>
                <w:szCs w:val="22"/>
              </w:rPr>
              <w:tab/>
            </w:r>
            <w:r w:rsidR="009047EE" w:rsidRPr="00072EA0">
              <w:rPr>
                <w:rStyle w:val="Hyperlink"/>
                <w:noProof/>
              </w:rPr>
              <w:t>Roles and Responsibilities</w:t>
            </w:r>
            <w:r w:rsidR="009047EE">
              <w:rPr>
                <w:noProof/>
                <w:webHidden/>
              </w:rPr>
              <w:tab/>
            </w:r>
            <w:r w:rsidR="009047EE">
              <w:rPr>
                <w:noProof/>
                <w:webHidden/>
              </w:rPr>
              <w:fldChar w:fldCharType="begin"/>
            </w:r>
            <w:r w:rsidR="009047EE">
              <w:rPr>
                <w:noProof/>
                <w:webHidden/>
              </w:rPr>
              <w:instrText xml:space="preserve"> PAGEREF _Toc79762747 \h </w:instrText>
            </w:r>
            <w:r w:rsidR="009047EE">
              <w:rPr>
                <w:noProof/>
                <w:webHidden/>
              </w:rPr>
            </w:r>
            <w:r w:rsidR="009047EE">
              <w:rPr>
                <w:noProof/>
                <w:webHidden/>
              </w:rPr>
              <w:fldChar w:fldCharType="separate"/>
            </w:r>
            <w:r w:rsidR="009047EE">
              <w:rPr>
                <w:noProof/>
                <w:webHidden/>
              </w:rPr>
              <w:t>9</w:t>
            </w:r>
            <w:r w:rsidR="009047EE">
              <w:rPr>
                <w:noProof/>
                <w:webHidden/>
              </w:rPr>
              <w:fldChar w:fldCharType="end"/>
            </w:r>
          </w:hyperlink>
        </w:p>
        <w:p w14:paraId="7E6D16DA" w14:textId="005BA17F" w:rsidR="009047EE" w:rsidRDefault="00282841">
          <w:pPr>
            <w:pStyle w:val="TOC1"/>
            <w:rPr>
              <w:rFonts w:eastAsiaTheme="minorEastAsia" w:cstheme="minorBidi"/>
              <w:noProof/>
              <w:color w:val="auto"/>
              <w:sz w:val="22"/>
              <w:szCs w:val="22"/>
            </w:rPr>
          </w:pPr>
          <w:hyperlink w:anchor="_Toc79762748" w:history="1">
            <w:r w:rsidR="009047EE" w:rsidRPr="00072EA0">
              <w:rPr>
                <w:rStyle w:val="Hyperlink"/>
                <w:noProof/>
                <w14:scene3d>
                  <w14:camera w14:prst="orthographicFront"/>
                  <w14:lightRig w14:rig="threePt" w14:dir="t">
                    <w14:rot w14:lat="0" w14:lon="0" w14:rev="0"/>
                  </w14:lightRig>
                </w14:scene3d>
              </w:rPr>
              <w:t>9.</w:t>
            </w:r>
            <w:r w:rsidR="009047EE">
              <w:rPr>
                <w:rFonts w:eastAsiaTheme="minorEastAsia" w:cstheme="minorBidi"/>
                <w:noProof/>
                <w:color w:val="auto"/>
                <w:sz w:val="22"/>
                <w:szCs w:val="22"/>
              </w:rPr>
              <w:tab/>
            </w:r>
            <w:r w:rsidR="009047EE" w:rsidRPr="00072EA0">
              <w:rPr>
                <w:rStyle w:val="Hyperlink"/>
                <w:noProof/>
              </w:rPr>
              <w:t>Employees</w:t>
            </w:r>
            <w:r w:rsidR="009047EE">
              <w:rPr>
                <w:noProof/>
                <w:webHidden/>
              </w:rPr>
              <w:tab/>
            </w:r>
            <w:r w:rsidR="009047EE">
              <w:rPr>
                <w:noProof/>
                <w:webHidden/>
              </w:rPr>
              <w:fldChar w:fldCharType="begin"/>
            </w:r>
            <w:r w:rsidR="009047EE">
              <w:rPr>
                <w:noProof/>
                <w:webHidden/>
              </w:rPr>
              <w:instrText xml:space="preserve"> PAGEREF _Toc79762748 \h </w:instrText>
            </w:r>
            <w:r w:rsidR="009047EE">
              <w:rPr>
                <w:noProof/>
                <w:webHidden/>
              </w:rPr>
            </w:r>
            <w:r w:rsidR="009047EE">
              <w:rPr>
                <w:noProof/>
                <w:webHidden/>
              </w:rPr>
              <w:fldChar w:fldCharType="separate"/>
            </w:r>
            <w:r w:rsidR="009047EE">
              <w:rPr>
                <w:noProof/>
                <w:webHidden/>
              </w:rPr>
              <w:t>12</w:t>
            </w:r>
            <w:r w:rsidR="009047EE">
              <w:rPr>
                <w:noProof/>
                <w:webHidden/>
              </w:rPr>
              <w:fldChar w:fldCharType="end"/>
            </w:r>
          </w:hyperlink>
        </w:p>
        <w:p w14:paraId="3A12AE7E" w14:textId="3327F8FB" w:rsidR="009047EE" w:rsidRDefault="00282841">
          <w:pPr>
            <w:pStyle w:val="TOC1"/>
            <w:rPr>
              <w:rFonts w:eastAsiaTheme="minorEastAsia" w:cstheme="minorBidi"/>
              <w:noProof/>
              <w:color w:val="auto"/>
              <w:sz w:val="22"/>
              <w:szCs w:val="22"/>
            </w:rPr>
          </w:pPr>
          <w:hyperlink w:anchor="_Toc79762749" w:history="1">
            <w:r w:rsidR="009047EE" w:rsidRPr="00072EA0">
              <w:rPr>
                <w:rStyle w:val="Hyperlink"/>
                <w:noProof/>
                <w14:scene3d>
                  <w14:camera w14:prst="orthographicFront"/>
                  <w14:lightRig w14:rig="threePt" w14:dir="t">
                    <w14:rot w14:lat="0" w14:lon="0" w14:rev="0"/>
                  </w14:lightRig>
                </w14:scene3d>
              </w:rPr>
              <w:t>10.</w:t>
            </w:r>
            <w:r w:rsidR="009047EE">
              <w:rPr>
                <w:rFonts w:eastAsiaTheme="minorEastAsia" w:cstheme="minorBidi"/>
                <w:noProof/>
                <w:color w:val="auto"/>
                <w:sz w:val="22"/>
                <w:szCs w:val="22"/>
              </w:rPr>
              <w:tab/>
            </w:r>
            <w:r w:rsidR="009047EE" w:rsidRPr="00072EA0">
              <w:rPr>
                <w:rStyle w:val="Hyperlink"/>
                <w:noProof/>
              </w:rPr>
              <w:t>Resident Engagement - Tenants and Leaseholders</w:t>
            </w:r>
            <w:r w:rsidR="009047EE">
              <w:rPr>
                <w:noProof/>
                <w:webHidden/>
              </w:rPr>
              <w:tab/>
            </w:r>
            <w:r w:rsidR="009047EE">
              <w:rPr>
                <w:noProof/>
                <w:webHidden/>
              </w:rPr>
              <w:fldChar w:fldCharType="begin"/>
            </w:r>
            <w:r w:rsidR="009047EE">
              <w:rPr>
                <w:noProof/>
                <w:webHidden/>
              </w:rPr>
              <w:instrText xml:space="preserve"> PAGEREF _Toc79762749 \h </w:instrText>
            </w:r>
            <w:r w:rsidR="009047EE">
              <w:rPr>
                <w:noProof/>
                <w:webHidden/>
              </w:rPr>
            </w:r>
            <w:r w:rsidR="009047EE">
              <w:rPr>
                <w:noProof/>
                <w:webHidden/>
              </w:rPr>
              <w:fldChar w:fldCharType="separate"/>
            </w:r>
            <w:r w:rsidR="009047EE">
              <w:rPr>
                <w:noProof/>
                <w:webHidden/>
              </w:rPr>
              <w:t>12</w:t>
            </w:r>
            <w:r w:rsidR="009047EE">
              <w:rPr>
                <w:noProof/>
                <w:webHidden/>
              </w:rPr>
              <w:fldChar w:fldCharType="end"/>
            </w:r>
          </w:hyperlink>
        </w:p>
        <w:p w14:paraId="79BCF701" w14:textId="757C77DD" w:rsidR="009047EE" w:rsidRDefault="00282841">
          <w:pPr>
            <w:pStyle w:val="TOC1"/>
            <w:rPr>
              <w:rFonts w:eastAsiaTheme="minorEastAsia" w:cstheme="minorBidi"/>
              <w:noProof/>
              <w:color w:val="auto"/>
              <w:sz w:val="22"/>
              <w:szCs w:val="22"/>
            </w:rPr>
          </w:pPr>
          <w:hyperlink w:anchor="_Toc79762750" w:history="1">
            <w:r w:rsidR="009047EE" w:rsidRPr="00072EA0">
              <w:rPr>
                <w:rStyle w:val="Hyperlink"/>
                <w:noProof/>
                <w14:scene3d>
                  <w14:camera w14:prst="orthographicFront"/>
                  <w14:lightRig w14:rig="threePt" w14:dir="t">
                    <w14:rot w14:lat="0" w14:lon="0" w14:rev="0"/>
                  </w14:lightRig>
                </w14:scene3d>
              </w:rPr>
              <w:t>11.</w:t>
            </w:r>
            <w:r w:rsidR="009047EE">
              <w:rPr>
                <w:rFonts w:eastAsiaTheme="minorEastAsia" w:cstheme="minorBidi"/>
                <w:noProof/>
                <w:color w:val="auto"/>
                <w:sz w:val="22"/>
                <w:szCs w:val="22"/>
              </w:rPr>
              <w:tab/>
            </w:r>
            <w:r w:rsidR="009047EE" w:rsidRPr="00072EA0">
              <w:rPr>
                <w:rStyle w:val="Hyperlink"/>
                <w:noProof/>
              </w:rPr>
              <w:t>Contractors</w:t>
            </w:r>
            <w:r w:rsidR="009047EE">
              <w:rPr>
                <w:noProof/>
                <w:webHidden/>
              </w:rPr>
              <w:tab/>
            </w:r>
            <w:r w:rsidR="009047EE">
              <w:rPr>
                <w:noProof/>
                <w:webHidden/>
              </w:rPr>
              <w:fldChar w:fldCharType="begin"/>
            </w:r>
            <w:r w:rsidR="009047EE">
              <w:rPr>
                <w:noProof/>
                <w:webHidden/>
              </w:rPr>
              <w:instrText xml:space="preserve"> PAGEREF _Toc79762750 \h </w:instrText>
            </w:r>
            <w:r w:rsidR="009047EE">
              <w:rPr>
                <w:noProof/>
                <w:webHidden/>
              </w:rPr>
            </w:r>
            <w:r w:rsidR="009047EE">
              <w:rPr>
                <w:noProof/>
                <w:webHidden/>
              </w:rPr>
              <w:fldChar w:fldCharType="separate"/>
            </w:r>
            <w:r w:rsidR="009047EE">
              <w:rPr>
                <w:noProof/>
                <w:webHidden/>
              </w:rPr>
              <w:t>14</w:t>
            </w:r>
            <w:r w:rsidR="009047EE">
              <w:rPr>
                <w:noProof/>
                <w:webHidden/>
              </w:rPr>
              <w:fldChar w:fldCharType="end"/>
            </w:r>
          </w:hyperlink>
        </w:p>
        <w:p w14:paraId="615CDC65" w14:textId="0006F1CA" w:rsidR="009047EE" w:rsidRDefault="00282841">
          <w:pPr>
            <w:pStyle w:val="TOC1"/>
            <w:rPr>
              <w:rFonts w:eastAsiaTheme="minorEastAsia" w:cstheme="minorBidi"/>
              <w:noProof/>
              <w:color w:val="auto"/>
              <w:sz w:val="22"/>
              <w:szCs w:val="22"/>
            </w:rPr>
          </w:pPr>
          <w:hyperlink w:anchor="_Toc79762751" w:history="1">
            <w:r w:rsidR="009047EE" w:rsidRPr="00072EA0">
              <w:rPr>
                <w:rStyle w:val="Hyperlink"/>
                <w:noProof/>
                <w14:scene3d>
                  <w14:camera w14:prst="orthographicFront"/>
                  <w14:lightRig w14:rig="threePt" w14:dir="t">
                    <w14:rot w14:lat="0" w14:lon="0" w14:rev="0"/>
                  </w14:lightRig>
                </w14:scene3d>
              </w:rPr>
              <w:t>12.</w:t>
            </w:r>
            <w:r w:rsidR="009047EE">
              <w:rPr>
                <w:rFonts w:eastAsiaTheme="minorEastAsia" w:cstheme="minorBidi"/>
                <w:noProof/>
                <w:color w:val="auto"/>
                <w:sz w:val="22"/>
                <w:szCs w:val="22"/>
              </w:rPr>
              <w:tab/>
            </w:r>
            <w:r w:rsidR="009047EE" w:rsidRPr="00072EA0">
              <w:rPr>
                <w:rStyle w:val="Hyperlink"/>
                <w:noProof/>
              </w:rPr>
              <w:t>Communication</w:t>
            </w:r>
            <w:r w:rsidR="009047EE">
              <w:rPr>
                <w:noProof/>
                <w:webHidden/>
              </w:rPr>
              <w:tab/>
            </w:r>
            <w:r w:rsidR="009047EE">
              <w:rPr>
                <w:noProof/>
                <w:webHidden/>
              </w:rPr>
              <w:fldChar w:fldCharType="begin"/>
            </w:r>
            <w:r w:rsidR="009047EE">
              <w:rPr>
                <w:noProof/>
                <w:webHidden/>
              </w:rPr>
              <w:instrText xml:space="preserve"> PAGEREF _Toc79762751 \h </w:instrText>
            </w:r>
            <w:r w:rsidR="009047EE">
              <w:rPr>
                <w:noProof/>
                <w:webHidden/>
              </w:rPr>
            </w:r>
            <w:r w:rsidR="009047EE">
              <w:rPr>
                <w:noProof/>
                <w:webHidden/>
              </w:rPr>
              <w:fldChar w:fldCharType="separate"/>
            </w:r>
            <w:r w:rsidR="009047EE">
              <w:rPr>
                <w:noProof/>
                <w:webHidden/>
              </w:rPr>
              <w:t>14</w:t>
            </w:r>
            <w:r w:rsidR="009047EE">
              <w:rPr>
                <w:noProof/>
                <w:webHidden/>
              </w:rPr>
              <w:fldChar w:fldCharType="end"/>
            </w:r>
          </w:hyperlink>
        </w:p>
        <w:p w14:paraId="427FF26C" w14:textId="72BEF61F" w:rsidR="009047EE" w:rsidRDefault="00282841">
          <w:pPr>
            <w:pStyle w:val="TOC1"/>
            <w:rPr>
              <w:rFonts w:eastAsiaTheme="minorEastAsia" w:cstheme="minorBidi"/>
              <w:noProof/>
              <w:color w:val="auto"/>
              <w:sz w:val="22"/>
              <w:szCs w:val="22"/>
            </w:rPr>
          </w:pPr>
          <w:hyperlink w:anchor="_Toc79762752" w:history="1">
            <w:r w:rsidR="009047EE" w:rsidRPr="00072EA0">
              <w:rPr>
                <w:rStyle w:val="Hyperlink"/>
                <w:noProof/>
                <w14:scene3d>
                  <w14:camera w14:prst="orthographicFront"/>
                  <w14:lightRig w14:rig="threePt" w14:dir="t">
                    <w14:rot w14:lat="0" w14:lon="0" w14:rev="0"/>
                  </w14:lightRig>
                </w14:scene3d>
              </w:rPr>
              <w:t>13.</w:t>
            </w:r>
            <w:r w:rsidR="009047EE">
              <w:rPr>
                <w:rFonts w:eastAsiaTheme="minorEastAsia" w:cstheme="minorBidi"/>
                <w:noProof/>
                <w:color w:val="auto"/>
                <w:sz w:val="22"/>
                <w:szCs w:val="22"/>
              </w:rPr>
              <w:tab/>
            </w:r>
            <w:r w:rsidR="009047EE" w:rsidRPr="00072EA0">
              <w:rPr>
                <w:rStyle w:val="Hyperlink"/>
                <w:noProof/>
              </w:rPr>
              <w:t>Review</w:t>
            </w:r>
            <w:r w:rsidR="009047EE">
              <w:rPr>
                <w:noProof/>
                <w:webHidden/>
              </w:rPr>
              <w:tab/>
            </w:r>
            <w:r w:rsidR="009047EE">
              <w:rPr>
                <w:noProof/>
                <w:webHidden/>
              </w:rPr>
              <w:fldChar w:fldCharType="begin"/>
            </w:r>
            <w:r w:rsidR="009047EE">
              <w:rPr>
                <w:noProof/>
                <w:webHidden/>
              </w:rPr>
              <w:instrText xml:space="preserve"> PAGEREF _Toc79762752 \h </w:instrText>
            </w:r>
            <w:r w:rsidR="009047EE">
              <w:rPr>
                <w:noProof/>
                <w:webHidden/>
              </w:rPr>
            </w:r>
            <w:r w:rsidR="009047EE">
              <w:rPr>
                <w:noProof/>
                <w:webHidden/>
              </w:rPr>
              <w:fldChar w:fldCharType="separate"/>
            </w:r>
            <w:r w:rsidR="009047EE">
              <w:rPr>
                <w:noProof/>
                <w:webHidden/>
              </w:rPr>
              <w:t>15</w:t>
            </w:r>
            <w:r w:rsidR="009047EE">
              <w:rPr>
                <w:noProof/>
                <w:webHidden/>
              </w:rPr>
              <w:fldChar w:fldCharType="end"/>
            </w:r>
          </w:hyperlink>
        </w:p>
        <w:p w14:paraId="4183EA02" w14:textId="0447E98E" w:rsidR="009047EE" w:rsidRDefault="00282841">
          <w:pPr>
            <w:pStyle w:val="TOC1"/>
            <w:rPr>
              <w:rFonts w:eastAsiaTheme="minorEastAsia" w:cstheme="minorBidi"/>
              <w:noProof/>
              <w:color w:val="auto"/>
              <w:sz w:val="22"/>
              <w:szCs w:val="22"/>
            </w:rPr>
          </w:pPr>
          <w:hyperlink w:anchor="_Toc79762753" w:history="1">
            <w:r w:rsidR="009047EE" w:rsidRPr="00072EA0">
              <w:rPr>
                <w:rStyle w:val="Hyperlink"/>
                <w:noProof/>
                <w14:scene3d>
                  <w14:camera w14:prst="orthographicFront"/>
                  <w14:lightRig w14:rig="threePt" w14:dir="t">
                    <w14:rot w14:lat="0" w14:lon="0" w14:rev="0"/>
                  </w14:lightRig>
                </w14:scene3d>
              </w:rPr>
              <w:t>14.</w:t>
            </w:r>
            <w:r w:rsidR="009047EE">
              <w:rPr>
                <w:rFonts w:eastAsiaTheme="minorEastAsia" w:cstheme="minorBidi"/>
                <w:noProof/>
                <w:color w:val="auto"/>
                <w:sz w:val="22"/>
                <w:szCs w:val="22"/>
              </w:rPr>
              <w:tab/>
            </w:r>
            <w:r w:rsidR="009047EE" w:rsidRPr="00072EA0">
              <w:rPr>
                <w:rStyle w:val="Hyperlink"/>
                <w:noProof/>
              </w:rPr>
              <w:t>Governance, Assurance and External Validation</w:t>
            </w:r>
            <w:r w:rsidR="009047EE">
              <w:rPr>
                <w:noProof/>
                <w:webHidden/>
              </w:rPr>
              <w:tab/>
            </w:r>
            <w:r w:rsidR="009047EE">
              <w:rPr>
                <w:noProof/>
                <w:webHidden/>
              </w:rPr>
              <w:fldChar w:fldCharType="begin"/>
            </w:r>
            <w:r w:rsidR="009047EE">
              <w:rPr>
                <w:noProof/>
                <w:webHidden/>
              </w:rPr>
              <w:instrText xml:space="preserve"> PAGEREF _Toc79762753 \h </w:instrText>
            </w:r>
            <w:r w:rsidR="009047EE">
              <w:rPr>
                <w:noProof/>
                <w:webHidden/>
              </w:rPr>
            </w:r>
            <w:r w:rsidR="009047EE">
              <w:rPr>
                <w:noProof/>
                <w:webHidden/>
              </w:rPr>
              <w:fldChar w:fldCharType="separate"/>
            </w:r>
            <w:r w:rsidR="009047EE">
              <w:rPr>
                <w:noProof/>
                <w:webHidden/>
              </w:rPr>
              <w:t>15</w:t>
            </w:r>
            <w:r w:rsidR="009047EE">
              <w:rPr>
                <w:noProof/>
                <w:webHidden/>
              </w:rPr>
              <w:fldChar w:fldCharType="end"/>
            </w:r>
          </w:hyperlink>
        </w:p>
        <w:p w14:paraId="7CB52138" w14:textId="5D1F6786" w:rsidR="009047EE" w:rsidRDefault="00282841">
          <w:pPr>
            <w:pStyle w:val="TOC1"/>
            <w:rPr>
              <w:rFonts w:eastAsiaTheme="minorEastAsia" w:cstheme="minorBidi"/>
              <w:noProof/>
              <w:color w:val="auto"/>
              <w:sz w:val="22"/>
              <w:szCs w:val="22"/>
            </w:rPr>
          </w:pPr>
          <w:hyperlink w:anchor="_Toc79762754" w:history="1">
            <w:r w:rsidR="009047EE" w:rsidRPr="00072EA0">
              <w:rPr>
                <w:rStyle w:val="Hyperlink"/>
                <w:noProof/>
                <w14:scene3d>
                  <w14:camera w14:prst="orthographicFront"/>
                  <w14:lightRig w14:rig="threePt" w14:dir="t">
                    <w14:rot w14:lat="0" w14:lon="0" w14:rev="0"/>
                  </w14:lightRig>
                </w14:scene3d>
              </w:rPr>
              <w:t>15.</w:t>
            </w:r>
            <w:r w:rsidR="009047EE">
              <w:rPr>
                <w:rFonts w:eastAsiaTheme="minorEastAsia" w:cstheme="minorBidi"/>
                <w:noProof/>
                <w:color w:val="auto"/>
                <w:sz w:val="22"/>
                <w:szCs w:val="22"/>
              </w:rPr>
              <w:tab/>
            </w:r>
            <w:r w:rsidR="009047EE" w:rsidRPr="00072EA0">
              <w:rPr>
                <w:rStyle w:val="Hyperlink"/>
                <w:noProof/>
              </w:rPr>
              <w:t>Additional Legislation</w:t>
            </w:r>
            <w:r w:rsidR="009047EE">
              <w:rPr>
                <w:noProof/>
                <w:webHidden/>
              </w:rPr>
              <w:tab/>
            </w:r>
            <w:r w:rsidR="009047EE">
              <w:rPr>
                <w:noProof/>
                <w:webHidden/>
              </w:rPr>
              <w:fldChar w:fldCharType="begin"/>
            </w:r>
            <w:r w:rsidR="009047EE">
              <w:rPr>
                <w:noProof/>
                <w:webHidden/>
              </w:rPr>
              <w:instrText xml:space="preserve"> PAGEREF _Toc79762754 \h </w:instrText>
            </w:r>
            <w:r w:rsidR="009047EE">
              <w:rPr>
                <w:noProof/>
                <w:webHidden/>
              </w:rPr>
            </w:r>
            <w:r w:rsidR="009047EE">
              <w:rPr>
                <w:noProof/>
                <w:webHidden/>
              </w:rPr>
              <w:fldChar w:fldCharType="separate"/>
            </w:r>
            <w:r w:rsidR="009047EE">
              <w:rPr>
                <w:noProof/>
                <w:webHidden/>
              </w:rPr>
              <w:t>16</w:t>
            </w:r>
            <w:r w:rsidR="009047EE">
              <w:rPr>
                <w:noProof/>
                <w:webHidden/>
              </w:rPr>
              <w:fldChar w:fldCharType="end"/>
            </w:r>
          </w:hyperlink>
        </w:p>
        <w:p w14:paraId="4BC86105" w14:textId="7259E312" w:rsidR="009047EE" w:rsidRDefault="00282841">
          <w:pPr>
            <w:pStyle w:val="TOC1"/>
            <w:rPr>
              <w:rFonts w:eastAsiaTheme="minorEastAsia" w:cstheme="minorBidi"/>
              <w:noProof/>
              <w:color w:val="auto"/>
              <w:sz w:val="22"/>
              <w:szCs w:val="22"/>
            </w:rPr>
          </w:pPr>
          <w:hyperlink w:anchor="_Toc79762755" w:history="1">
            <w:r w:rsidR="009047EE" w:rsidRPr="00072EA0">
              <w:rPr>
                <w:rStyle w:val="Hyperlink"/>
                <w:noProof/>
                <w14:scene3d>
                  <w14:camera w14:prst="orthographicFront"/>
                  <w14:lightRig w14:rig="threePt" w14:dir="t">
                    <w14:rot w14:lat="0" w14:lon="0" w14:rev="0"/>
                  </w14:lightRig>
                </w14:scene3d>
              </w:rPr>
              <w:t>16.</w:t>
            </w:r>
            <w:r w:rsidR="009047EE">
              <w:rPr>
                <w:rFonts w:eastAsiaTheme="minorEastAsia" w:cstheme="minorBidi"/>
                <w:noProof/>
                <w:color w:val="auto"/>
                <w:sz w:val="22"/>
                <w:szCs w:val="22"/>
              </w:rPr>
              <w:tab/>
            </w:r>
            <w:r w:rsidR="009047EE" w:rsidRPr="00072EA0">
              <w:rPr>
                <w:rStyle w:val="Hyperlink"/>
                <w:noProof/>
              </w:rPr>
              <w:t>Equality and Diversity</w:t>
            </w:r>
            <w:r w:rsidR="009047EE">
              <w:rPr>
                <w:noProof/>
                <w:webHidden/>
              </w:rPr>
              <w:tab/>
            </w:r>
            <w:r w:rsidR="009047EE">
              <w:rPr>
                <w:noProof/>
                <w:webHidden/>
              </w:rPr>
              <w:fldChar w:fldCharType="begin"/>
            </w:r>
            <w:r w:rsidR="009047EE">
              <w:rPr>
                <w:noProof/>
                <w:webHidden/>
              </w:rPr>
              <w:instrText xml:space="preserve"> PAGEREF _Toc79762755 \h </w:instrText>
            </w:r>
            <w:r w:rsidR="009047EE">
              <w:rPr>
                <w:noProof/>
                <w:webHidden/>
              </w:rPr>
            </w:r>
            <w:r w:rsidR="009047EE">
              <w:rPr>
                <w:noProof/>
                <w:webHidden/>
              </w:rPr>
              <w:fldChar w:fldCharType="separate"/>
            </w:r>
            <w:r w:rsidR="009047EE">
              <w:rPr>
                <w:noProof/>
                <w:webHidden/>
              </w:rPr>
              <w:t>16</w:t>
            </w:r>
            <w:r w:rsidR="009047EE">
              <w:rPr>
                <w:noProof/>
                <w:webHidden/>
              </w:rPr>
              <w:fldChar w:fldCharType="end"/>
            </w:r>
          </w:hyperlink>
        </w:p>
        <w:p w14:paraId="613EEA6F" w14:textId="308E2532" w:rsidR="009047EE" w:rsidRDefault="00282841">
          <w:pPr>
            <w:pStyle w:val="TOC1"/>
            <w:rPr>
              <w:rFonts w:eastAsiaTheme="minorEastAsia" w:cstheme="minorBidi"/>
              <w:noProof/>
              <w:color w:val="auto"/>
              <w:sz w:val="22"/>
              <w:szCs w:val="22"/>
            </w:rPr>
          </w:pPr>
          <w:hyperlink w:anchor="_Toc79762756" w:history="1">
            <w:r w:rsidR="009047EE" w:rsidRPr="00072EA0">
              <w:rPr>
                <w:rStyle w:val="Hyperlink"/>
                <w:noProof/>
                <w14:scene3d>
                  <w14:camera w14:prst="orthographicFront"/>
                  <w14:lightRig w14:rig="threePt" w14:dir="t">
                    <w14:rot w14:lat="0" w14:lon="0" w14:rev="0"/>
                  </w14:lightRig>
                </w14:scene3d>
              </w:rPr>
              <w:t>17.</w:t>
            </w:r>
            <w:r w:rsidR="009047EE">
              <w:rPr>
                <w:rFonts w:eastAsiaTheme="minorEastAsia" w:cstheme="minorBidi"/>
                <w:noProof/>
                <w:color w:val="auto"/>
                <w:sz w:val="22"/>
                <w:szCs w:val="22"/>
              </w:rPr>
              <w:tab/>
            </w:r>
            <w:r w:rsidR="009047EE" w:rsidRPr="00072EA0">
              <w:rPr>
                <w:rStyle w:val="Hyperlink"/>
                <w:noProof/>
              </w:rPr>
              <w:t>Publicising this Policy</w:t>
            </w:r>
            <w:r w:rsidR="009047EE">
              <w:rPr>
                <w:noProof/>
                <w:webHidden/>
              </w:rPr>
              <w:tab/>
            </w:r>
            <w:r w:rsidR="009047EE">
              <w:rPr>
                <w:noProof/>
                <w:webHidden/>
              </w:rPr>
              <w:fldChar w:fldCharType="begin"/>
            </w:r>
            <w:r w:rsidR="009047EE">
              <w:rPr>
                <w:noProof/>
                <w:webHidden/>
              </w:rPr>
              <w:instrText xml:space="preserve"> PAGEREF _Toc79762756 \h </w:instrText>
            </w:r>
            <w:r w:rsidR="009047EE">
              <w:rPr>
                <w:noProof/>
                <w:webHidden/>
              </w:rPr>
            </w:r>
            <w:r w:rsidR="009047EE">
              <w:rPr>
                <w:noProof/>
                <w:webHidden/>
              </w:rPr>
              <w:fldChar w:fldCharType="separate"/>
            </w:r>
            <w:r w:rsidR="009047EE">
              <w:rPr>
                <w:noProof/>
                <w:webHidden/>
              </w:rPr>
              <w:t>16</w:t>
            </w:r>
            <w:r w:rsidR="009047EE">
              <w:rPr>
                <w:noProof/>
                <w:webHidden/>
              </w:rPr>
              <w:fldChar w:fldCharType="end"/>
            </w:r>
          </w:hyperlink>
        </w:p>
        <w:p w14:paraId="45B49A90" w14:textId="510489BA" w:rsidR="009047EE" w:rsidRDefault="00282841">
          <w:pPr>
            <w:pStyle w:val="TOC1"/>
            <w:rPr>
              <w:rFonts w:eastAsiaTheme="minorEastAsia" w:cstheme="minorBidi"/>
              <w:noProof/>
              <w:color w:val="auto"/>
              <w:sz w:val="22"/>
              <w:szCs w:val="22"/>
            </w:rPr>
          </w:pPr>
          <w:hyperlink w:anchor="_Toc79762757" w:history="1">
            <w:r w:rsidR="009047EE" w:rsidRPr="00072EA0">
              <w:rPr>
                <w:rStyle w:val="Hyperlink"/>
                <w:noProof/>
                <w14:scene3d>
                  <w14:camera w14:prst="orthographicFront"/>
                  <w14:lightRig w14:rig="threePt" w14:dir="t">
                    <w14:rot w14:lat="0" w14:lon="0" w14:rev="0"/>
                  </w14:lightRig>
                </w14:scene3d>
              </w:rPr>
              <w:t>18.</w:t>
            </w:r>
            <w:r w:rsidR="009047EE">
              <w:rPr>
                <w:rFonts w:eastAsiaTheme="minorEastAsia" w:cstheme="minorBidi"/>
                <w:noProof/>
                <w:color w:val="auto"/>
                <w:sz w:val="22"/>
                <w:szCs w:val="22"/>
              </w:rPr>
              <w:tab/>
            </w:r>
            <w:r w:rsidR="009047EE" w:rsidRPr="00072EA0">
              <w:rPr>
                <w:rStyle w:val="Hyperlink"/>
                <w:noProof/>
              </w:rPr>
              <w:t>Glossary</w:t>
            </w:r>
            <w:r w:rsidR="009047EE">
              <w:rPr>
                <w:noProof/>
                <w:webHidden/>
              </w:rPr>
              <w:tab/>
            </w:r>
            <w:r w:rsidR="009047EE">
              <w:rPr>
                <w:noProof/>
                <w:webHidden/>
              </w:rPr>
              <w:fldChar w:fldCharType="begin"/>
            </w:r>
            <w:r w:rsidR="009047EE">
              <w:rPr>
                <w:noProof/>
                <w:webHidden/>
              </w:rPr>
              <w:instrText xml:space="preserve"> PAGEREF _Toc79762757 \h </w:instrText>
            </w:r>
            <w:r w:rsidR="009047EE">
              <w:rPr>
                <w:noProof/>
                <w:webHidden/>
              </w:rPr>
            </w:r>
            <w:r w:rsidR="009047EE">
              <w:rPr>
                <w:noProof/>
                <w:webHidden/>
              </w:rPr>
              <w:fldChar w:fldCharType="separate"/>
            </w:r>
            <w:r w:rsidR="009047EE">
              <w:rPr>
                <w:noProof/>
                <w:webHidden/>
              </w:rPr>
              <w:t>16</w:t>
            </w:r>
            <w:r w:rsidR="009047EE">
              <w:rPr>
                <w:noProof/>
                <w:webHidden/>
              </w:rPr>
              <w:fldChar w:fldCharType="end"/>
            </w:r>
          </w:hyperlink>
        </w:p>
        <w:p w14:paraId="18027E40" w14:textId="6497001E" w:rsidR="004E480B" w:rsidRDefault="00132DE7" w:rsidP="00B12678">
          <w:r>
            <w:rPr>
              <w:rFonts w:asciiTheme="minorHAnsi" w:hAnsiTheme="minorHAnsi" w:cstheme="minorHAnsi"/>
              <w:color w:val="0072CE"/>
            </w:rPr>
            <w:fldChar w:fldCharType="end"/>
          </w:r>
        </w:p>
      </w:sdtContent>
    </w:sdt>
    <w:p w14:paraId="33E8D3D5" w14:textId="016EF8C1" w:rsidR="004E480B" w:rsidRDefault="004E480B" w:rsidP="00B12678">
      <w:pPr>
        <w:rPr>
          <w:rFonts w:ascii="Calibri" w:hAnsi="Calibri" w:cs="Calibri"/>
          <w:color w:val="702F8A"/>
          <w:sz w:val="28"/>
          <w:szCs w:val="28"/>
        </w:rPr>
      </w:pPr>
      <w:r>
        <w:br w:type="page"/>
      </w:r>
    </w:p>
    <w:p w14:paraId="6DD637E5" w14:textId="4639D1F0" w:rsidR="00754D0B" w:rsidRDefault="00754D0B" w:rsidP="00B12678">
      <w:pPr>
        <w:pStyle w:val="Heading1"/>
      </w:pPr>
      <w:bookmarkStart w:id="0" w:name="_Toc79762740"/>
      <w:r w:rsidRPr="00166A4B">
        <w:lastRenderedPageBreak/>
        <w:t>Introduction</w:t>
      </w:r>
      <w:r w:rsidR="0032027C">
        <w:t xml:space="preserve"> and Scope</w:t>
      </w:r>
      <w:bookmarkEnd w:id="0"/>
    </w:p>
    <w:p w14:paraId="68DD2EBD" w14:textId="32906D3D" w:rsidR="0032027C" w:rsidRPr="00754D0B" w:rsidRDefault="00754D0B" w:rsidP="00B12678">
      <w:pPr>
        <w:pStyle w:val="Style1"/>
        <w:spacing w:line="240" w:lineRule="auto"/>
      </w:pPr>
      <w:r>
        <w:t>Arches Housing</w:t>
      </w:r>
      <w:r w:rsidRPr="00754D0B">
        <w:t xml:space="preserve"> </w:t>
      </w:r>
      <w:r w:rsidR="00A51620" w:rsidRPr="00764C5B">
        <w:t>acknowledges</w:t>
      </w:r>
      <w:r w:rsidR="00A51620">
        <w:t xml:space="preserve"> the risk from fire to both life and property</w:t>
      </w:r>
      <w:r w:rsidR="0032027C">
        <w:t>.</w:t>
      </w:r>
      <w:r w:rsidR="003119D3">
        <w:t xml:space="preserve"> </w:t>
      </w:r>
      <w:r w:rsidR="0032027C" w:rsidRPr="00754D0B">
        <w:t xml:space="preserve">As a landlord, </w:t>
      </w:r>
      <w:r w:rsidR="0032027C">
        <w:t>we are</w:t>
      </w:r>
      <w:r w:rsidRPr="00754D0B">
        <w:t xml:space="preserve"> responsible for carrying out fire risk assessments, and taking action to identify, manage and mitigate risks associated with fire </w:t>
      </w:r>
      <w:r w:rsidR="00D805B7">
        <w:t>in respect of</w:t>
      </w:r>
      <w:r w:rsidR="00D93812">
        <w:t xml:space="preserve"> </w:t>
      </w:r>
      <w:r w:rsidRPr="00754D0B">
        <w:t xml:space="preserve">the </w:t>
      </w:r>
      <w:r w:rsidR="00D93812">
        <w:t>common</w:t>
      </w:r>
      <w:r w:rsidRPr="00754D0B">
        <w:t xml:space="preserve"> areas of buildings we own and manage.</w:t>
      </w:r>
      <w:r w:rsidR="00D93812">
        <w:t xml:space="preserve"> </w:t>
      </w:r>
    </w:p>
    <w:p w14:paraId="4B9095B6" w14:textId="16825294" w:rsidR="00A51620" w:rsidRDefault="00A51620" w:rsidP="00B12678">
      <w:pPr>
        <w:pStyle w:val="Style1"/>
        <w:spacing w:line="240" w:lineRule="auto"/>
      </w:pPr>
      <w:r w:rsidRPr="00754D0B">
        <w:t>We have a duty to take general ﬁre precaution measures to ensure, as far as is reasonably practicable, the safety of the people on our premises and in the immediate vicinity.</w:t>
      </w:r>
      <w:r w:rsidR="0032027C">
        <w:t xml:space="preserve"> W</w:t>
      </w:r>
      <w:r w:rsidR="0032027C" w:rsidRPr="00F4188D">
        <w:t>e have a duty of ca</w:t>
      </w:r>
      <w:r w:rsidR="0032027C">
        <w:t xml:space="preserve">re to ensure that all residents and </w:t>
      </w:r>
      <w:r w:rsidR="0032027C" w:rsidRPr="00F4188D">
        <w:t xml:space="preserve">visitors can use </w:t>
      </w:r>
      <w:r w:rsidR="0032027C">
        <w:t xml:space="preserve">our </w:t>
      </w:r>
      <w:r w:rsidR="0032027C" w:rsidRPr="00F4188D">
        <w:t>buildings and facilities safely</w:t>
      </w:r>
      <w:r w:rsidR="0032027C">
        <w:t xml:space="preserve"> and are not exposed to any undue fire risks</w:t>
      </w:r>
      <w:r w:rsidR="0032027C" w:rsidRPr="00F4188D">
        <w:t>.</w:t>
      </w:r>
    </w:p>
    <w:p w14:paraId="0A09551F" w14:textId="5483F6B5" w:rsidR="00A51620" w:rsidRPr="000C2DFE" w:rsidRDefault="00754D0B" w:rsidP="00B12678">
      <w:pPr>
        <w:pStyle w:val="Style1"/>
        <w:spacing w:line="240" w:lineRule="auto"/>
      </w:pPr>
      <w:r w:rsidRPr="00754D0B">
        <w:t xml:space="preserve">The key objective of this policy is to ensure that our Board, </w:t>
      </w:r>
      <w:r w:rsidR="00A51620">
        <w:t>Executive Leadership</w:t>
      </w:r>
      <w:r w:rsidRPr="00754D0B">
        <w:t xml:space="preserve"> Team, employees, partners and residents are clear on our legal and regulatory fire safety obligations. </w:t>
      </w:r>
      <w:r w:rsidR="00971DBD">
        <w:t>In addition, t</w:t>
      </w:r>
      <w:r w:rsidRPr="00754D0B">
        <w:t xml:space="preserve">his policy provides the framework our staff and partners will operate within </w:t>
      </w:r>
      <w:r w:rsidR="00282841" w:rsidRPr="00754D0B">
        <w:t>to</w:t>
      </w:r>
      <w:r w:rsidR="00971DBD">
        <w:t xml:space="preserve"> meet these obligations</w:t>
      </w:r>
      <w:r w:rsidR="00D805B7">
        <w:t xml:space="preserve">, </w:t>
      </w:r>
      <w:r w:rsidR="00A51620">
        <w:t xml:space="preserve">strengthen our approach to </w:t>
      </w:r>
      <w:r w:rsidR="00971DBD">
        <w:t xml:space="preserve">fire </w:t>
      </w:r>
      <w:r w:rsidR="00A51620">
        <w:t>safety and encourage awareness and responsibility throughout the organisation</w:t>
      </w:r>
      <w:r w:rsidR="00971DBD">
        <w:t>.</w:t>
      </w:r>
      <w:r w:rsidR="00A51620">
        <w:t xml:space="preserve"> </w:t>
      </w:r>
    </w:p>
    <w:p w14:paraId="5AC19C37" w14:textId="406AA3D7" w:rsidR="003119D3" w:rsidRDefault="003119D3" w:rsidP="00B12678">
      <w:pPr>
        <w:pStyle w:val="Style1"/>
        <w:spacing w:line="240" w:lineRule="auto"/>
      </w:pPr>
      <w:r>
        <w:t xml:space="preserve">This policy forms part of our wider </w:t>
      </w:r>
      <w:r w:rsidRPr="00C55EFA">
        <w:t>legal duty to ens</w:t>
      </w:r>
      <w:r>
        <w:t xml:space="preserve">ure the health and safety of </w:t>
      </w:r>
      <w:r w:rsidRPr="00C55EFA">
        <w:t>employees, tenants, leaseholders, stakeholders and visito</w:t>
      </w:r>
      <w:r w:rsidR="00D805B7">
        <w:t>rs. O</w:t>
      </w:r>
      <w:r>
        <w:t xml:space="preserve">ur wider </w:t>
      </w:r>
      <w:r w:rsidRPr="00F4188D">
        <w:t>organisational commitment to health and safety is se</w:t>
      </w:r>
      <w:r w:rsidR="00D805B7">
        <w:t>t out in our Health and Safety P</w:t>
      </w:r>
      <w:r w:rsidRPr="00F4188D">
        <w:t>olicy.</w:t>
      </w:r>
    </w:p>
    <w:p w14:paraId="2A8F3FD7" w14:textId="0ADC5876" w:rsidR="00661963" w:rsidRDefault="00971DBD" w:rsidP="00B12678">
      <w:pPr>
        <w:pStyle w:val="Style1"/>
        <w:spacing w:line="240" w:lineRule="auto"/>
      </w:pPr>
      <w:r>
        <w:t xml:space="preserve">This policy and </w:t>
      </w:r>
      <w:r w:rsidR="00D805B7">
        <w:t xml:space="preserve">the procedures that </w:t>
      </w:r>
      <w:r>
        <w:t>support</w:t>
      </w:r>
      <w:r w:rsidR="00D805B7">
        <w:t xml:space="preserve"> it</w:t>
      </w:r>
      <w:r w:rsidR="00382DB5">
        <w:t xml:space="preserve"> will be stored in </w:t>
      </w:r>
      <w:proofErr w:type="spellStart"/>
      <w:r w:rsidR="00382DB5">
        <w:t>Pentana</w:t>
      </w:r>
      <w:proofErr w:type="spellEnd"/>
      <w:r>
        <w:t xml:space="preserve"> </w:t>
      </w:r>
      <w:r w:rsidR="00661963">
        <w:t>and distributed across the organisation and subsequently adhered to.</w:t>
      </w:r>
    </w:p>
    <w:p w14:paraId="5BD93D59" w14:textId="5927448D" w:rsidR="00EB20CB" w:rsidRDefault="00CE5DAD" w:rsidP="00B12678">
      <w:pPr>
        <w:pStyle w:val="Heading1"/>
      </w:pPr>
      <w:bookmarkStart w:id="1" w:name="_Toc79762741"/>
      <w:r w:rsidRPr="00CE5DAD">
        <w:t>Legislation</w:t>
      </w:r>
      <w:r w:rsidR="00C538A8">
        <w:t>,</w:t>
      </w:r>
      <w:r w:rsidRPr="00CE5DAD">
        <w:t xml:space="preserve"> </w:t>
      </w:r>
      <w:r w:rsidR="00C538A8">
        <w:t>Guidanc</w:t>
      </w:r>
      <w:r w:rsidRPr="00CE5DAD">
        <w:t xml:space="preserve">e </w:t>
      </w:r>
      <w:r w:rsidR="00C538A8">
        <w:t>and Regulatory Standards</w:t>
      </w:r>
      <w:bookmarkEnd w:id="1"/>
    </w:p>
    <w:p w14:paraId="59CDD94A" w14:textId="72CA7CC9" w:rsidR="00754D0B" w:rsidRPr="00336F1C" w:rsidRDefault="00754D0B" w:rsidP="00B12678">
      <w:pPr>
        <w:pStyle w:val="Style1"/>
        <w:spacing w:line="240" w:lineRule="auto"/>
        <w:rPr>
          <w:b/>
        </w:rPr>
      </w:pPr>
      <w:r w:rsidRPr="00754D0B">
        <w:rPr>
          <w:b/>
        </w:rPr>
        <w:t>Legislation</w:t>
      </w:r>
      <w:r>
        <w:rPr>
          <w:b/>
        </w:rPr>
        <w:t xml:space="preserve"> </w:t>
      </w:r>
      <w:r>
        <w:t>–</w:t>
      </w:r>
      <w:r w:rsidRPr="00754D0B">
        <w:t xml:space="preserve"> </w:t>
      </w:r>
      <w:r>
        <w:t>The principal legislation</w:t>
      </w:r>
      <w:r w:rsidR="00336F1C">
        <w:t xml:space="preserve"> applicable to this policy is:</w:t>
      </w:r>
    </w:p>
    <w:p w14:paraId="045DE445" w14:textId="15014EAB" w:rsidR="00336F1C" w:rsidRPr="00336F1C" w:rsidRDefault="00336F1C" w:rsidP="00B12678">
      <w:pPr>
        <w:pStyle w:val="BodyText"/>
        <w:numPr>
          <w:ilvl w:val="0"/>
          <w:numId w:val="2"/>
        </w:numPr>
        <w:ind w:left="1276"/>
        <w:rPr>
          <w:rFonts w:ascii="Calibri" w:hAnsi="Calibri" w:cs="Calibri"/>
          <w:color w:val="0072CE"/>
        </w:rPr>
      </w:pPr>
      <w:r w:rsidRPr="00336F1C">
        <w:rPr>
          <w:rFonts w:ascii="Calibri" w:hAnsi="Calibri" w:cs="Calibri"/>
          <w:color w:val="0072CE"/>
        </w:rPr>
        <w:t xml:space="preserve">The Regulatory Reform (Fire Safety) Order 2005 </w:t>
      </w:r>
      <w:r>
        <w:rPr>
          <w:rFonts w:ascii="Calibri" w:hAnsi="Calibri" w:cs="Calibri"/>
          <w:color w:val="0072CE"/>
        </w:rPr>
        <w:t>(amended by the Fire Safety Act 2021).</w:t>
      </w:r>
    </w:p>
    <w:p w14:paraId="115996D2" w14:textId="0D0D9EFD" w:rsidR="00336F1C" w:rsidRPr="00336F1C" w:rsidRDefault="00336F1C" w:rsidP="00B12678">
      <w:pPr>
        <w:pStyle w:val="Style1"/>
        <w:spacing w:before="120" w:line="240" w:lineRule="auto"/>
      </w:pPr>
      <w:r>
        <w:rPr>
          <w:b/>
        </w:rPr>
        <w:t xml:space="preserve">Guidance </w:t>
      </w:r>
      <w:r w:rsidRPr="00336F1C">
        <w:t>- The principal guidance documents applicable to this policy are:</w:t>
      </w:r>
    </w:p>
    <w:p w14:paraId="34FBA246" w14:textId="77777777" w:rsidR="00336F1C" w:rsidRPr="00336F1C" w:rsidRDefault="00336F1C" w:rsidP="00B12678">
      <w:pPr>
        <w:pStyle w:val="BodyText"/>
        <w:numPr>
          <w:ilvl w:val="0"/>
          <w:numId w:val="2"/>
        </w:numPr>
        <w:ind w:left="1276"/>
        <w:rPr>
          <w:rFonts w:ascii="Calibri" w:hAnsi="Calibri" w:cs="Calibri"/>
          <w:color w:val="0072CE"/>
        </w:rPr>
      </w:pPr>
      <w:r w:rsidRPr="00336F1C">
        <w:rPr>
          <w:rFonts w:ascii="Calibri" w:hAnsi="Calibri" w:cs="Calibri"/>
          <w:color w:val="0072CE"/>
        </w:rPr>
        <w:t>LACORS - Housing - Fire Safety: Guidance on fire safety provisions for certain types of existing housing.</w:t>
      </w:r>
    </w:p>
    <w:p w14:paraId="3364533A" w14:textId="3D85299A" w:rsidR="00B04480" w:rsidRPr="00D743CD" w:rsidRDefault="00B04480" w:rsidP="00B12678">
      <w:pPr>
        <w:pStyle w:val="BodyText"/>
        <w:numPr>
          <w:ilvl w:val="0"/>
          <w:numId w:val="2"/>
        </w:numPr>
        <w:ind w:left="1276"/>
        <w:rPr>
          <w:rFonts w:ascii="Calibri" w:hAnsi="Calibri" w:cs="Calibri"/>
          <w:color w:val="0072CE"/>
        </w:rPr>
      </w:pPr>
      <w:r>
        <w:rPr>
          <w:rFonts w:ascii="Calibri" w:hAnsi="Calibri" w:cs="Calibri"/>
          <w:color w:val="0072CE"/>
        </w:rPr>
        <w:t xml:space="preserve">Fire safety in </w:t>
      </w:r>
      <w:r w:rsidR="00282841">
        <w:rPr>
          <w:rFonts w:ascii="Calibri" w:hAnsi="Calibri" w:cs="Calibri"/>
          <w:color w:val="0072CE"/>
        </w:rPr>
        <w:t>purpose-built</w:t>
      </w:r>
      <w:r>
        <w:rPr>
          <w:rFonts w:ascii="Calibri" w:hAnsi="Calibri" w:cs="Calibri"/>
          <w:color w:val="0072CE"/>
        </w:rPr>
        <w:t xml:space="preserve"> flats (hosted by the Home Office and read alongside </w:t>
      </w:r>
      <w:r w:rsidRPr="00D743CD">
        <w:rPr>
          <w:rFonts w:ascii="Calibri" w:hAnsi="Calibri" w:cs="Calibri"/>
          <w:color w:val="0072CE"/>
        </w:rPr>
        <w:t>the Ministry of Housing, Communities and Local Government’s Consolidated Advice Note and the National Fire Chief Council’</w:t>
      </w:r>
      <w:r>
        <w:rPr>
          <w:rFonts w:ascii="Calibri" w:hAnsi="Calibri" w:cs="Calibri"/>
          <w:color w:val="0072CE"/>
        </w:rPr>
        <w:t xml:space="preserve">s guidance on </w:t>
      </w:r>
      <w:r w:rsidRPr="00D743CD">
        <w:rPr>
          <w:rFonts w:ascii="Calibri" w:hAnsi="Calibri" w:cs="Calibri"/>
          <w:color w:val="0072CE"/>
        </w:rPr>
        <w:t>simultaneous evacuation</w:t>
      </w:r>
      <w:r>
        <w:rPr>
          <w:rFonts w:ascii="Calibri" w:hAnsi="Calibri" w:cs="Calibri"/>
          <w:color w:val="0072CE"/>
        </w:rPr>
        <w:t>)</w:t>
      </w:r>
      <w:r w:rsidRPr="00D743CD">
        <w:rPr>
          <w:rFonts w:ascii="Calibri" w:hAnsi="Calibri" w:cs="Calibri"/>
          <w:color w:val="0072CE"/>
        </w:rPr>
        <w:t>.</w:t>
      </w:r>
    </w:p>
    <w:p w14:paraId="257D2EB3" w14:textId="77777777" w:rsidR="00336F1C" w:rsidRPr="00336F1C" w:rsidRDefault="00336F1C" w:rsidP="00B12678">
      <w:pPr>
        <w:pStyle w:val="BodyText"/>
        <w:numPr>
          <w:ilvl w:val="0"/>
          <w:numId w:val="2"/>
        </w:numPr>
        <w:ind w:left="1276"/>
        <w:rPr>
          <w:rFonts w:ascii="Calibri" w:hAnsi="Calibri" w:cs="Calibri"/>
          <w:color w:val="0072CE"/>
        </w:rPr>
      </w:pPr>
      <w:r w:rsidRPr="00336F1C">
        <w:rPr>
          <w:rFonts w:ascii="Calibri" w:hAnsi="Calibri" w:cs="Calibri"/>
          <w:color w:val="0072CE"/>
        </w:rPr>
        <w:t>HHSRS Operating Guidance - Housing Act 2004: Guidance about inspections and assessment of hazards given under Section 9.</w:t>
      </w:r>
    </w:p>
    <w:p w14:paraId="4E755827" w14:textId="77777777" w:rsidR="00336F1C" w:rsidRPr="00336F1C" w:rsidRDefault="00336F1C" w:rsidP="00B12678">
      <w:pPr>
        <w:pStyle w:val="BodyText"/>
        <w:numPr>
          <w:ilvl w:val="0"/>
          <w:numId w:val="2"/>
        </w:numPr>
        <w:ind w:left="1276"/>
        <w:rPr>
          <w:rFonts w:ascii="Calibri" w:hAnsi="Calibri" w:cs="Calibri"/>
          <w:color w:val="0072CE"/>
        </w:rPr>
      </w:pPr>
      <w:r w:rsidRPr="00336F1C">
        <w:rPr>
          <w:rFonts w:ascii="Calibri" w:hAnsi="Calibri" w:cs="Calibri"/>
          <w:color w:val="0072CE"/>
        </w:rPr>
        <w:t>HHSRS Operating Guidance – Housing Act 2004: Addendum for the profile for the hazard of fire and in relation to cladding systems on high rise residential buildings.</w:t>
      </w:r>
    </w:p>
    <w:p w14:paraId="06C3A2D1" w14:textId="77777777" w:rsidR="00336F1C" w:rsidRPr="00336F1C" w:rsidRDefault="00336F1C" w:rsidP="00B12678">
      <w:pPr>
        <w:pStyle w:val="BodyText"/>
        <w:numPr>
          <w:ilvl w:val="0"/>
          <w:numId w:val="2"/>
        </w:numPr>
        <w:ind w:left="1276"/>
        <w:rPr>
          <w:rFonts w:ascii="Calibri" w:hAnsi="Calibri" w:cs="Calibri"/>
          <w:color w:val="0072CE"/>
        </w:rPr>
      </w:pPr>
      <w:r w:rsidRPr="00336F1C">
        <w:rPr>
          <w:rFonts w:ascii="Calibri" w:hAnsi="Calibri" w:cs="Calibri"/>
          <w:color w:val="0072CE"/>
        </w:rPr>
        <w:t>Ministry of Housing, Communities &amp; Local Government (MHCLG): Advice for Building Owners of Multi-storey, Multi-occupied Residential Buildings (January 2020).</w:t>
      </w:r>
    </w:p>
    <w:p w14:paraId="1A49ECD1" w14:textId="7B11CF97" w:rsidR="00336F1C" w:rsidRPr="00336F1C" w:rsidRDefault="00336F1C" w:rsidP="00B12678">
      <w:pPr>
        <w:pStyle w:val="BodyText"/>
        <w:numPr>
          <w:ilvl w:val="0"/>
          <w:numId w:val="2"/>
        </w:numPr>
        <w:ind w:left="1276"/>
        <w:rPr>
          <w:rFonts w:ascii="Calibri" w:hAnsi="Calibri" w:cs="Calibri"/>
          <w:color w:val="0072CE"/>
        </w:rPr>
      </w:pPr>
      <w:r w:rsidRPr="00336F1C">
        <w:rPr>
          <w:rFonts w:ascii="Calibri" w:hAnsi="Calibri" w:cs="Calibri"/>
          <w:color w:val="0072CE"/>
        </w:rPr>
        <w:t>National Fire Chief Council’s Guidance (NFCC) - Fire Safe</w:t>
      </w:r>
      <w:r w:rsidR="00B15CA6">
        <w:rPr>
          <w:rFonts w:ascii="Calibri" w:hAnsi="Calibri" w:cs="Calibri"/>
          <w:color w:val="0072CE"/>
        </w:rPr>
        <w:t>ty in Specialist Housing (</w:t>
      </w:r>
      <w:r w:rsidRPr="00336F1C">
        <w:rPr>
          <w:rFonts w:ascii="Calibri" w:hAnsi="Calibri" w:cs="Calibri"/>
          <w:color w:val="0072CE"/>
        </w:rPr>
        <w:t>May 2017</w:t>
      </w:r>
      <w:r w:rsidR="00B15CA6">
        <w:rPr>
          <w:rFonts w:ascii="Calibri" w:hAnsi="Calibri" w:cs="Calibri"/>
          <w:color w:val="0072CE"/>
        </w:rPr>
        <w:t>).</w:t>
      </w:r>
      <w:r w:rsidRPr="00336F1C">
        <w:rPr>
          <w:rFonts w:ascii="Calibri" w:hAnsi="Calibri" w:cs="Calibri"/>
          <w:color w:val="0072CE"/>
        </w:rPr>
        <w:t xml:space="preserve"> Covers sheltered schemes, supported schemes and extra care schemes.</w:t>
      </w:r>
    </w:p>
    <w:p w14:paraId="748A9522" w14:textId="49675A7D" w:rsidR="005C3E9F" w:rsidRDefault="00C93503" w:rsidP="00B12678">
      <w:pPr>
        <w:pStyle w:val="BodyText"/>
        <w:numPr>
          <w:ilvl w:val="0"/>
          <w:numId w:val="2"/>
        </w:numPr>
        <w:spacing w:after="120"/>
        <w:ind w:left="1276" w:hanging="357"/>
        <w:rPr>
          <w:rFonts w:ascii="Calibri" w:hAnsi="Calibri" w:cs="Calibri"/>
          <w:color w:val="0072CE"/>
        </w:rPr>
      </w:pPr>
      <w:r>
        <w:rPr>
          <w:rFonts w:ascii="Calibri" w:hAnsi="Calibri" w:cs="Calibri"/>
          <w:color w:val="0072CE"/>
        </w:rPr>
        <w:lastRenderedPageBreak/>
        <w:t xml:space="preserve">HM Government Fire safety </w:t>
      </w:r>
      <w:r w:rsidR="00B15CA6">
        <w:rPr>
          <w:rFonts w:ascii="Calibri" w:hAnsi="Calibri" w:cs="Calibri"/>
          <w:color w:val="0072CE"/>
        </w:rPr>
        <w:t xml:space="preserve">risk assessment: </w:t>
      </w:r>
      <w:r>
        <w:rPr>
          <w:rFonts w:ascii="Calibri" w:hAnsi="Calibri" w:cs="Calibri"/>
          <w:color w:val="0072CE"/>
        </w:rPr>
        <w:t>sleeping accommodation</w:t>
      </w:r>
      <w:r w:rsidR="00B15CA6">
        <w:rPr>
          <w:rFonts w:ascii="Calibri" w:hAnsi="Calibri" w:cs="Calibri"/>
          <w:color w:val="0072CE"/>
        </w:rPr>
        <w:t xml:space="preserve"> (June 2006)</w:t>
      </w:r>
    </w:p>
    <w:p w14:paraId="3956CA2B" w14:textId="77777777" w:rsidR="00281032" w:rsidRPr="00281032" w:rsidRDefault="00281032" w:rsidP="00B12678">
      <w:pPr>
        <w:pStyle w:val="Style1"/>
        <w:spacing w:line="240" w:lineRule="auto"/>
      </w:pPr>
      <w:r w:rsidRPr="00281032">
        <w:rPr>
          <w:b/>
        </w:rPr>
        <w:t xml:space="preserve">Additional Policy Direction </w:t>
      </w:r>
      <w:r w:rsidRPr="00281032">
        <w:t>– The following documents set out clear direction for landlords in respect of fire safety, and whilst not statutory guidance or approved legislation, there are certain recommendations or proposals which are applicable to this policy:</w:t>
      </w:r>
    </w:p>
    <w:p w14:paraId="519698EE" w14:textId="77777777" w:rsidR="00281032" w:rsidRPr="00281032" w:rsidRDefault="00281032" w:rsidP="00B12678">
      <w:pPr>
        <w:pStyle w:val="BodyText"/>
        <w:numPr>
          <w:ilvl w:val="0"/>
          <w:numId w:val="2"/>
        </w:numPr>
        <w:ind w:left="1276"/>
        <w:rPr>
          <w:rFonts w:ascii="Calibri" w:hAnsi="Calibri" w:cs="Calibri"/>
          <w:color w:val="0072CE"/>
        </w:rPr>
      </w:pPr>
      <w:r w:rsidRPr="00281032">
        <w:rPr>
          <w:rFonts w:ascii="Calibri" w:hAnsi="Calibri" w:cs="Calibri"/>
          <w:color w:val="0072CE"/>
        </w:rPr>
        <w:t>Building a Safer Future - Independent Review of Building Regulations and Fire Safety: Final Report (May 2018).</w:t>
      </w:r>
    </w:p>
    <w:p w14:paraId="1975BCFA" w14:textId="77777777" w:rsidR="00281032" w:rsidRPr="00281032" w:rsidRDefault="00281032" w:rsidP="00B12678">
      <w:pPr>
        <w:pStyle w:val="BodyText"/>
        <w:numPr>
          <w:ilvl w:val="0"/>
          <w:numId w:val="2"/>
        </w:numPr>
        <w:ind w:left="1276"/>
        <w:rPr>
          <w:rFonts w:ascii="Calibri" w:hAnsi="Calibri" w:cs="Calibri"/>
          <w:color w:val="0072CE"/>
        </w:rPr>
      </w:pPr>
      <w:r w:rsidRPr="00281032">
        <w:rPr>
          <w:rFonts w:ascii="Calibri" w:hAnsi="Calibri" w:cs="Calibri"/>
          <w:color w:val="0072CE"/>
        </w:rPr>
        <w:t>Building a Safer Future - Proposals for reform of the building safety regulatory system: A consultation (June 2019).</w:t>
      </w:r>
    </w:p>
    <w:p w14:paraId="54DF867B" w14:textId="77777777" w:rsidR="00281032" w:rsidRPr="00281032" w:rsidRDefault="00281032" w:rsidP="00B12678">
      <w:pPr>
        <w:pStyle w:val="BodyText"/>
        <w:numPr>
          <w:ilvl w:val="0"/>
          <w:numId w:val="2"/>
        </w:numPr>
        <w:ind w:left="1276"/>
        <w:rPr>
          <w:rFonts w:ascii="Calibri" w:hAnsi="Calibri" w:cs="Calibri"/>
          <w:color w:val="0072CE"/>
        </w:rPr>
      </w:pPr>
      <w:r w:rsidRPr="00281032">
        <w:rPr>
          <w:rFonts w:ascii="Calibri" w:hAnsi="Calibri" w:cs="Calibri"/>
          <w:color w:val="0072CE"/>
        </w:rPr>
        <w:t>The Regulatory Reform (Fire Safety) Order 2005: Call for Evidence (July 2019).</w:t>
      </w:r>
    </w:p>
    <w:p w14:paraId="1E36F759" w14:textId="0C9AD793" w:rsidR="00281032" w:rsidRPr="00281032" w:rsidRDefault="00281032" w:rsidP="00B12678">
      <w:pPr>
        <w:pStyle w:val="BodyText"/>
        <w:numPr>
          <w:ilvl w:val="0"/>
          <w:numId w:val="2"/>
        </w:numPr>
        <w:ind w:left="1276"/>
        <w:rPr>
          <w:rFonts w:ascii="Calibri" w:hAnsi="Calibri" w:cs="Calibri"/>
          <w:color w:val="0072CE"/>
        </w:rPr>
      </w:pPr>
      <w:r w:rsidRPr="00281032">
        <w:rPr>
          <w:rFonts w:ascii="Calibri" w:hAnsi="Calibri" w:cs="Calibri"/>
          <w:color w:val="0072CE"/>
        </w:rPr>
        <w:t>Grenfell Tower Inquiry: phase 1 report. Volume</w:t>
      </w:r>
      <w:r w:rsidR="00C538A8">
        <w:rPr>
          <w:rFonts w:ascii="Calibri" w:hAnsi="Calibri" w:cs="Calibri"/>
          <w:color w:val="0072CE"/>
        </w:rPr>
        <w:t>s</w:t>
      </w:r>
      <w:r w:rsidRPr="00281032">
        <w:rPr>
          <w:rFonts w:ascii="Calibri" w:hAnsi="Calibri" w:cs="Calibri"/>
          <w:color w:val="0072CE"/>
        </w:rPr>
        <w:t xml:space="preserve"> 1 – 4 (October 2019).</w:t>
      </w:r>
    </w:p>
    <w:p w14:paraId="3DBBE2EE" w14:textId="3645C1FE" w:rsidR="00281032" w:rsidRPr="00281032" w:rsidRDefault="00281032" w:rsidP="00B12678">
      <w:pPr>
        <w:pStyle w:val="BodyText"/>
        <w:numPr>
          <w:ilvl w:val="0"/>
          <w:numId w:val="2"/>
        </w:numPr>
        <w:spacing w:after="120"/>
        <w:ind w:left="1276" w:hanging="357"/>
        <w:rPr>
          <w:rFonts w:ascii="Calibri" w:hAnsi="Calibri" w:cs="Calibri"/>
          <w:color w:val="0072CE"/>
        </w:rPr>
      </w:pPr>
      <w:r>
        <w:rPr>
          <w:rFonts w:ascii="Calibri" w:hAnsi="Calibri" w:cs="Calibri"/>
          <w:color w:val="0072CE"/>
        </w:rPr>
        <w:t>Building Safety Bill 2021</w:t>
      </w:r>
      <w:r w:rsidRPr="00281032">
        <w:rPr>
          <w:rFonts w:ascii="Calibri" w:hAnsi="Calibri" w:cs="Calibri"/>
          <w:color w:val="0072CE"/>
        </w:rPr>
        <w:t>.</w:t>
      </w:r>
    </w:p>
    <w:p w14:paraId="1BDD3184" w14:textId="43092625" w:rsidR="00C538A8" w:rsidRDefault="00C538A8" w:rsidP="00B12678">
      <w:pPr>
        <w:pStyle w:val="Style1"/>
        <w:spacing w:line="240" w:lineRule="auto"/>
      </w:pPr>
      <w:r w:rsidRPr="00251A9E">
        <w:rPr>
          <w:b/>
        </w:rPr>
        <w:t>Regulatory Standards</w:t>
      </w:r>
      <w:r w:rsidRPr="00251A9E">
        <w:t xml:space="preserve"> </w:t>
      </w:r>
      <w:r>
        <w:t>–</w:t>
      </w:r>
      <w:r w:rsidRPr="00251A9E">
        <w:t xml:space="preserve"> </w:t>
      </w:r>
      <w:r>
        <w:t xml:space="preserve">Arches </w:t>
      </w:r>
      <w:r w:rsidR="005978A6">
        <w:t xml:space="preserve">Housing </w:t>
      </w:r>
      <w:r>
        <w:t xml:space="preserve">must ensure compliance </w:t>
      </w:r>
      <w:r w:rsidRPr="000A2D08">
        <w:t>with the Reg</w:t>
      </w:r>
      <w:r>
        <w:t>ulator of Social Housing’s</w:t>
      </w:r>
      <w:r w:rsidRPr="000A2D08">
        <w:t xml:space="preserve"> regulatory framework and consumer standards</w:t>
      </w:r>
      <w:r>
        <w:t xml:space="preserve"> for social housing in England; the Home</w:t>
      </w:r>
      <w:r w:rsidRPr="007C616D">
        <w:t xml:space="preserve"> Standard </w:t>
      </w:r>
      <w:r>
        <w:t>is</w:t>
      </w:r>
      <w:r w:rsidRPr="007C616D">
        <w:t xml:space="preserve"> the </w:t>
      </w:r>
      <w:r>
        <w:t>primary standard applicable to this policy.</w:t>
      </w:r>
    </w:p>
    <w:p w14:paraId="38F58E1E" w14:textId="3BC82C18" w:rsidR="00572374" w:rsidRDefault="003119D3" w:rsidP="00B12678">
      <w:pPr>
        <w:pStyle w:val="Style1"/>
        <w:spacing w:line="240" w:lineRule="auto"/>
      </w:pPr>
      <w:r>
        <w:t>We</w:t>
      </w:r>
      <w:r w:rsidR="00572374">
        <w:t xml:space="preserve"> acknowledge that there is further legislation pending and where practical we will take account of anticipated alignment of the Building Safety Bill and the Fire Safety Act 2021. </w:t>
      </w:r>
    </w:p>
    <w:p w14:paraId="132A7607" w14:textId="6494BA19" w:rsidR="00336F1C" w:rsidRDefault="00336F1C" w:rsidP="00B12678">
      <w:pPr>
        <w:pStyle w:val="Heading1"/>
      </w:pPr>
      <w:bookmarkStart w:id="2" w:name="_Toc79762742"/>
      <w:r>
        <w:t>Obligations</w:t>
      </w:r>
      <w:bookmarkEnd w:id="2"/>
    </w:p>
    <w:p w14:paraId="1EE0394D" w14:textId="414EDFF6" w:rsidR="002828FC" w:rsidRDefault="00605484" w:rsidP="00B12678">
      <w:pPr>
        <w:pStyle w:val="Style1"/>
        <w:spacing w:line="240" w:lineRule="auto"/>
      </w:pPr>
      <w:r w:rsidRPr="002828FC">
        <w:rPr>
          <w:b/>
        </w:rPr>
        <w:t>Regulatory Reform (Fire Safety) Order 2005 (the FSO)</w:t>
      </w:r>
      <w:r w:rsidR="002828FC" w:rsidRPr="002828FC">
        <w:rPr>
          <w:b/>
        </w:rPr>
        <w:t>:</w:t>
      </w:r>
      <w:r>
        <w:t xml:space="preserve"> </w:t>
      </w:r>
    </w:p>
    <w:p w14:paraId="03BB8325" w14:textId="51FF2EFA" w:rsidR="002828FC" w:rsidRDefault="00605484" w:rsidP="00B12678">
      <w:pPr>
        <w:pStyle w:val="Style1"/>
        <w:numPr>
          <w:ilvl w:val="0"/>
          <w:numId w:val="9"/>
        </w:numPr>
        <w:spacing w:line="240" w:lineRule="auto"/>
      </w:pPr>
      <w:r>
        <w:t>Arches</w:t>
      </w:r>
      <w:r w:rsidRPr="00605484">
        <w:t xml:space="preserve"> </w:t>
      </w:r>
      <w:r w:rsidR="005978A6">
        <w:t xml:space="preserve">Housing </w:t>
      </w:r>
      <w:r w:rsidRPr="00605484">
        <w:t>is the ‘</w:t>
      </w:r>
      <w:r w:rsidR="003119D3">
        <w:t>Responsible P</w:t>
      </w:r>
      <w:r w:rsidRPr="00605484">
        <w:t xml:space="preserve">erson’ for the purposes of the legislation, </w:t>
      </w:r>
      <w:r w:rsidR="00282841">
        <w:t xml:space="preserve">as </w:t>
      </w:r>
      <w:r w:rsidRPr="00605484">
        <w:t>we own and manage homes and buildings where residents and leaseholders live.</w:t>
      </w:r>
    </w:p>
    <w:p w14:paraId="64383E9F" w14:textId="322E2C56" w:rsidR="00605484" w:rsidRPr="00605484" w:rsidRDefault="003119D3" w:rsidP="00B12678">
      <w:pPr>
        <w:pStyle w:val="Style1"/>
        <w:numPr>
          <w:ilvl w:val="0"/>
          <w:numId w:val="9"/>
        </w:numPr>
        <w:spacing w:line="240" w:lineRule="auto"/>
      </w:pPr>
      <w:r>
        <w:t>The R</w:t>
      </w:r>
      <w:r w:rsidR="00605484" w:rsidRPr="00605484">
        <w:t xml:space="preserve">esponsible </w:t>
      </w:r>
      <w:r>
        <w:t>P</w:t>
      </w:r>
      <w:r w:rsidR="00605484" w:rsidRPr="00605484">
        <w:t>erson (</w:t>
      </w:r>
      <w:r w:rsidR="002828FC">
        <w:t>Arches</w:t>
      </w:r>
      <w:r w:rsidR="005978A6">
        <w:t xml:space="preserve"> Housing</w:t>
      </w:r>
      <w:r w:rsidR="00605484" w:rsidRPr="00605484">
        <w:t xml:space="preserve">) must carry out a ﬁre risk assessment (FRA) for the purpose of identifying the general ﬁre precautions and other measures needed to comply with the FSO. Although under the FSO this requirement only applies to common parts of premises, in practice the </w:t>
      </w:r>
      <w:r>
        <w:t>Responsible P</w:t>
      </w:r>
      <w:r w:rsidR="00605484" w:rsidRPr="00605484">
        <w:t xml:space="preserve">erson will need to </w:t>
      </w:r>
      <w:r w:rsidR="00282841" w:rsidRPr="00605484">
        <w:t>consider</w:t>
      </w:r>
      <w:r w:rsidR="00605484" w:rsidRPr="00605484">
        <w:t xml:space="preserve"> the entire premises, including units of residential accommodation.</w:t>
      </w:r>
    </w:p>
    <w:p w14:paraId="5CC75578" w14:textId="5DBC0FFF" w:rsidR="00605484" w:rsidRPr="00605484" w:rsidRDefault="003119D3" w:rsidP="00B12678">
      <w:pPr>
        <w:pStyle w:val="Style1"/>
        <w:numPr>
          <w:ilvl w:val="0"/>
          <w:numId w:val="9"/>
        </w:numPr>
        <w:spacing w:line="240" w:lineRule="auto"/>
      </w:pPr>
      <w:r>
        <w:t>The Responsible P</w:t>
      </w:r>
      <w:r w:rsidR="00605484" w:rsidRPr="00605484">
        <w:t xml:space="preserve">erson must implement all necessary general fire </w:t>
      </w:r>
      <w:r w:rsidR="00282841" w:rsidRPr="00605484">
        <w:t>precautions,</w:t>
      </w:r>
      <w:r w:rsidR="00605484" w:rsidRPr="00605484">
        <w:t xml:space="preserve"> and any other necessary measures identified by an FRA.</w:t>
      </w:r>
    </w:p>
    <w:p w14:paraId="6626B229" w14:textId="23DE86E2" w:rsidR="00605484" w:rsidRPr="00605484" w:rsidRDefault="003119D3" w:rsidP="00B12678">
      <w:pPr>
        <w:pStyle w:val="Style1"/>
        <w:numPr>
          <w:ilvl w:val="0"/>
          <w:numId w:val="9"/>
        </w:numPr>
        <w:spacing w:line="240" w:lineRule="auto"/>
      </w:pPr>
      <w:r>
        <w:t>The R</w:t>
      </w:r>
      <w:r w:rsidR="00605484" w:rsidRPr="00605484">
        <w:t xml:space="preserve">esponsible </w:t>
      </w:r>
      <w:r w:rsidR="00C8217B">
        <w:t>P</w:t>
      </w:r>
      <w:r w:rsidR="00605484" w:rsidRPr="00605484">
        <w:t>erson must put in place a suitable system of maintenance and appoint competent persons to implement any procedures that have been adopted</w:t>
      </w:r>
      <w:r w:rsidR="00D93812">
        <w:t xml:space="preserve"> (see </w:t>
      </w:r>
      <w:r w:rsidR="0097409F" w:rsidRPr="0097409F">
        <w:t>Section 8</w:t>
      </w:r>
      <w:r w:rsidR="00D93812">
        <w:t xml:space="preserve"> </w:t>
      </w:r>
      <w:r w:rsidR="0097409F">
        <w:t xml:space="preserve">- </w:t>
      </w:r>
      <w:r w:rsidR="00D93812">
        <w:t>Roles and Responsibilities for details)</w:t>
      </w:r>
      <w:r w:rsidR="00605484" w:rsidRPr="00605484">
        <w:t>.</w:t>
      </w:r>
    </w:p>
    <w:p w14:paraId="758DB95D" w14:textId="6E5806F8" w:rsidR="00605484" w:rsidRPr="00605484" w:rsidRDefault="00C8217B" w:rsidP="00B12678">
      <w:pPr>
        <w:pStyle w:val="Style1"/>
        <w:numPr>
          <w:ilvl w:val="0"/>
          <w:numId w:val="9"/>
        </w:numPr>
        <w:spacing w:line="240" w:lineRule="auto"/>
      </w:pPr>
      <w:r>
        <w:t>The Responsible P</w:t>
      </w:r>
      <w:r w:rsidR="00605484" w:rsidRPr="00605484">
        <w:t>erson must periodically review FRAs in a timescale appropriate to the premises and/or occupation fire risk level. This timescale is determined by the fire risk assessor carrying out the FRA.</w:t>
      </w:r>
    </w:p>
    <w:p w14:paraId="48F9BF69" w14:textId="2A3CE041" w:rsidR="002828FC" w:rsidRDefault="002828FC" w:rsidP="00B12678">
      <w:pPr>
        <w:pStyle w:val="Style1"/>
        <w:spacing w:line="240" w:lineRule="auto"/>
      </w:pPr>
      <w:r w:rsidRPr="002828FC">
        <w:rPr>
          <w:b/>
        </w:rPr>
        <w:t>Fire Safety</w:t>
      </w:r>
      <w:r>
        <w:rPr>
          <w:b/>
        </w:rPr>
        <w:t xml:space="preserve"> Act 2021</w:t>
      </w:r>
      <w:r w:rsidRPr="002828FC">
        <w:rPr>
          <w:b/>
        </w:rPr>
        <w:t>:</w:t>
      </w:r>
      <w:r>
        <w:t xml:space="preserve"> </w:t>
      </w:r>
    </w:p>
    <w:p w14:paraId="284B2D79" w14:textId="1221FDFC" w:rsidR="007513E9" w:rsidRDefault="007513E9" w:rsidP="00B12678">
      <w:pPr>
        <w:pStyle w:val="Style1"/>
        <w:numPr>
          <w:ilvl w:val="0"/>
          <w:numId w:val="9"/>
        </w:numPr>
        <w:spacing w:line="240" w:lineRule="auto"/>
      </w:pPr>
      <w:r>
        <w:t>The Fire Safety Act 2021</w:t>
      </w:r>
      <w:r w:rsidR="000E1436">
        <w:t xml:space="preserve"> (the Act)</w:t>
      </w:r>
      <w:r>
        <w:t xml:space="preserve"> was a</w:t>
      </w:r>
      <w:r w:rsidR="004B0D94" w:rsidRPr="007513E9">
        <w:t xml:space="preserve">pproved </w:t>
      </w:r>
      <w:r>
        <w:t>by Parliament on 29 April 2021 and amends the FSO by clarifying the following:</w:t>
      </w:r>
    </w:p>
    <w:p w14:paraId="1781A9F1" w14:textId="61C77D79" w:rsidR="007513E9" w:rsidRPr="007513E9" w:rsidRDefault="007513E9" w:rsidP="00B12678">
      <w:pPr>
        <w:pStyle w:val="Style1"/>
        <w:numPr>
          <w:ilvl w:val="1"/>
          <w:numId w:val="9"/>
        </w:numPr>
        <w:spacing w:line="240" w:lineRule="auto"/>
      </w:pPr>
      <w:r>
        <w:lastRenderedPageBreak/>
        <w:t>In respect of a</w:t>
      </w:r>
      <w:r w:rsidRPr="007513E9">
        <w:t xml:space="preserve">ny building containing two or more sets of domestic premises, </w:t>
      </w:r>
      <w:r w:rsidR="0097409F">
        <w:t>the R</w:t>
      </w:r>
      <w:r w:rsidR="002A398A">
        <w:t xml:space="preserve">esponsible </w:t>
      </w:r>
      <w:r w:rsidR="0097409F">
        <w:t>P</w:t>
      </w:r>
      <w:r w:rsidR="002A398A">
        <w:t>erson (Arches</w:t>
      </w:r>
      <w:r w:rsidR="0097409F">
        <w:t xml:space="preserve"> Housing</w:t>
      </w:r>
      <w:r w:rsidR="002A398A">
        <w:t xml:space="preserve">) must apply </w:t>
      </w:r>
      <w:r w:rsidRPr="007513E9">
        <w:t xml:space="preserve">the FSO to </w:t>
      </w:r>
      <w:r w:rsidR="002A398A">
        <w:t xml:space="preserve">the building’s structure, </w:t>
      </w:r>
      <w:r w:rsidRPr="007513E9">
        <w:t>external walls and any common parts, including flat entrance doors.</w:t>
      </w:r>
    </w:p>
    <w:p w14:paraId="64613A72" w14:textId="0F8E6F8F" w:rsidR="007513E9" w:rsidRPr="007513E9" w:rsidRDefault="002A398A" w:rsidP="00B12678">
      <w:pPr>
        <w:pStyle w:val="Style1"/>
        <w:numPr>
          <w:ilvl w:val="1"/>
          <w:numId w:val="9"/>
        </w:numPr>
        <w:spacing w:line="240" w:lineRule="auto"/>
      </w:pPr>
      <w:r>
        <w:t xml:space="preserve">In </w:t>
      </w:r>
      <w:r w:rsidR="0097409F">
        <w:t>respect of external walls, the Responsible P</w:t>
      </w:r>
      <w:r>
        <w:t xml:space="preserve">erson must include consideration for </w:t>
      </w:r>
      <w:r w:rsidR="007513E9" w:rsidRPr="007513E9">
        <w:t>‘doors or windows in those walls’ and ‘anything attached to the exterior of those walls</w:t>
      </w:r>
      <w:r>
        <w:t>’</w:t>
      </w:r>
      <w:r w:rsidR="007513E9" w:rsidRPr="007513E9">
        <w:t xml:space="preserve"> (including balconies).</w:t>
      </w:r>
    </w:p>
    <w:p w14:paraId="06D7F247" w14:textId="1FA20496" w:rsidR="000E1436" w:rsidRDefault="00D31CF4" w:rsidP="00B12678">
      <w:pPr>
        <w:pStyle w:val="Style1"/>
        <w:numPr>
          <w:ilvl w:val="0"/>
          <w:numId w:val="9"/>
        </w:numPr>
        <w:spacing w:line="240" w:lineRule="auto"/>
      </w:pPr>
      <w:r>
        <w:t>T</w:t>
      </w:r>
      <w:r w:rsidR="000E1436">
        <w:t xml:space="preserve">here is </w:t>
      </w:r>
      <w:r>
        <w:t xml:space="preserve">still </w:t>
      </w:r>
      <w:r w:rsidR="000E1436">
        <w:t xml:space="preserve">further consultation and regulations </w:t>
      </w:r>
      <w:r>
        <w:t>to be made</w:t>
      </w:r>
      <w:r w:rsidR="000E1436">
        <w:t xml:space="preserve"> before the</w:t>
      </w:r>
      <w:r w:rsidR="00572374">
        <w:t xml:space="preserve"> above</w:t>
      </w:r>
      <w:r w:rsidR="000E1436">
        <w:t xml:space="preserve"> provisions come into force</w:t>
      </w:r>
      <w:r w:rsidR="0097409F">
        <w:t>,</w:t>
      </w:r>
      <w:r>
        <w:t xml:space="preserve"> and therefore the Act </w:t>
      </w:r>
      <w:r w:rsidR="000E1436">
        <w:t xml:space="preserve">is not likely to </w:t>
      </w:r>
      <w:r>
        <w:t xml:space="preserve">have legal effect </w:t>
      </w:r>
      <w:r w:rsidR="000E1436">
        <w:t>until late 2021 or early 2022.</w:t>
      </w:r>
      <w:r w:rsidR="00572374" w:rsidRPr="00572374">
        <w:t xml:space="preserve"> </w:t>
      </w:r>
      <w:r>
        <w:t>A</w:t>
      </w:r>
      <w:r w:rsidR="00572374">
        <w:t xml:space="preserve">s a </w:t>
      </w:r>
      <w:r w:rsidR="00282841">
        <w:t>result,</w:t>
      </w:r>
      <w:r w:rsidR="00572374">
        <w:t xml:space="preserve"> th</w:t>
      </w:r>
      <w:r>
        <w:t>is</w:t>
      </w:r>
      <w:r w:rsidR="00572374">
        <w:t xml:space="preserve"> may impact definitions and requirements and result in further changes to this policy.</w:t>
      </w:r>
    </w:p>
    <w:p w14:paraId="53527148" w14:textId="79A2BFE1" w:rsidR="008375B6" w:rsidRPr="00320B65" w:rsidRDefault="00C3714B" w:rsidP="00B12678">
      <w:pPr>
        <w:pStyle w:val="Heading1"/>
      </w:pPr>
      <w:bookmarkStart w:id="3" w:name="_Toc79762743"/>
      <w:r>
        <w:t>State</w:t>
      </w:r>
      <w:r w:rsidR="003D58F3">
        <w:t>m</w:t>
      </w:r>
      <w:r>
        <w:t>ent of Intent</w:t>
      </w:r>
      <w:bookmarkEnd w:id="3"/>
    </w:p>
    <w:p w14:paraId="2733905D" w14:textId="0BB5A81A" w:rsidR="00FB5B70" w:rsidRDefault="00F60BE6" w:rsidP="00B12678">
      <w:pPr>
        <w:pStyle w:val="Style1"/>
        <w:spacing w:line="240" w:lineRule="auto"/>
      </w:pPr>
      <w:r>
        <w:t xml:space="preserve">We acknowledge and accept our responsibilities under the </w:t>
      </w:r>
      <w:r w:rsidRPr="00F60BE6">
        <w:t>Regulatory Reform (Fire S</w:t>
      </w:r>
      <w:r w:rsidR="00C8217B">
        <w:t>afety) Order 2005 (</w:t>
      </w:r>
      <w:r w:rsidRPr="00F60BE6">
        <w:t>amended by the Fire Safety Act 2</w:t>
      </w:r>
      <w:r>
        <w:t xml:space="preserve">021) as outlined in </w:t>
      </w:r>
      <w:r w:rsidR="0097409F" w:rsidRPr="0097409F">
        <w:t>Section 3</w:t>
      </w:r>
      <w:r w:rsidRPr="0097409F">
        <w:t>.</w:t>
      </w:r>
      <w:r w:rsidR="00572374" w:rsidRPr="0097409F">
        <w:t xml:space="preserve"> </w:t>
      </w:r>
      <w:r w:rsidR="00572374">
        <w:t xml:space="preserve"> Although it </w:t>
      </w:r>
      <w:r w:rsidR="00C8217B">
        <w:t>does not yet have legal effect</w:t>
      </w:r>
      <w:r w:rsidR="00572374">
        <w:t>, we will start to apply the requirements of the Fire Safety Act 2021 to our blocks as we are comm</w:t>
      </w:r>
      <w:r w:rsidR="0097409F">
        <w:t>itted to providing safe homes for</w:t>
      </w:r>
      <w:r w:rsidR="00572374">
        <w:t xml:space="preserve"> our residents. </w:t>
      </w:r>
    </w:p>
    <w:p w14:paraId="255980EC" w14:textId="254B7EFB" w:rsidR="00FB5B70" w:rsidRDefault="00FB5B70" w:rsidP="00FB5B70">
      <w:pPr>
        <w:pStyle w:val="Style1"/>
        <w:spacing w:line="240" w:lineRule="auto"/>
      </w:pPr>
      <w:r>
        <w:t xml:space="preserve">Although we do not own or manage any buildings of at least seven storeys or over 18m in height (as currently in scope under the Building Safety Bill 2021), we will still adopt Building Safety Bill principles for our occupied communal buildings </w:t>
      </w:r>
      <w:r w:rsidR="008F40F8">
        <w:t xml:space="preserve">where appropriate </w:t>
      </w:r>
      <w:r>
        <w:t>(for example, development of a Resident Engagement Strategy and appointment of a Building Safety Manager).</w:t>
      </w:r>
    </w:p>
    <w:p w14:paraId="654F545A" w14:textId="6D0F126A" w:rsidR="00C538A8" w:rsidRDefault="00572374" w:rsidP="00B12678">
      <w:pPr>
        <w:pStyle w:val="Style1"/>
        <w:spacing w:before="120" w:line="240" w:lineRule="auto"/>
      </w:pPr>
      <w:r>
        <w:t>We</w:t>
      </w:r>
      <w:r w:rsidR="00C538A8" w:rsidRPr="00CE5DAD">
        <w:t xml:space="preserve"> will meet the </w:t>
      </w:r>
      <w:r>
        <w:t>r</w:t>
      </w:r>
      <w:r w:rsidR="00C538A8" w:rsidRPr="00CE5DAD">
        <w:t>egulatory requirements of the Regulator of Social Housing’s Home Standard, which includes meeting all applicable statutory requirements that provide for the health and safety of our customers in their homes in relation to fire.</w:t>
      </w:r>
    </w:p>
    <w:p w14:paraId="640985EC" w14:textId="512DC20B" w:rsidR="00013204" w:rsidRDefault="00013204" w:rsidP="00B12678">
      <w:pPr>
        <w:pStyle w:val="Style1"/>
        <w:spacing w:before="120" w:line="240" w:lineRule="auto"/>
      </w:pPr>
      <w:r>
        <w:t>E</w:t>
      </w:r>
      <w:r w:rsidRPr="00251A9E">
        <w:t>ach property requiring a</w:t>
      </w:r>
      <w:r>
        <w:t xml:space="preserve"> fire risk assessment</w:t>
      </w:r>
      <w:r w:rsidRPr="00251A9E">
        <w:t xml:space="preserve"> </w:t>
      </w:r>
      <w:r>
        <w:t>(FRA)</w:t>
      </w:r>
      <w:r w:rsidRPr="00251A9E">
        <w:t xml:space="preserve"> </w:t>
      </w:r>
      <w:r>
        <w:t>will have</w:t>
      </w:r>
      <w:r w:rsidRPr="00251A9E">
        <w:t xml:space="preserve"> </w:t>
      </w:r>
      <w:r>
        <w:t xml:space="preserve">one </w:t>
      </w:r>
      <w:r w:rsidRPr="00251A9E">
        <w:t xml:space="preserve">in place </w:t>
      </w:r>
      <w:r>
        <w:t>which</w:t>
      </w:r>
      <w:r w:rsidRPr="00A535C1">
        <w:t xml:space="preserve"> has been carried out by a competent fire risk assessor</w:t>
      </w:r>
      <w:r>
        <w:t>,</w:t>
      </w:r>
      <w:r w:rsidRPr="00A535C1">
        <w:t xml:space="preserve"> </w:t>
      </w:r>
      <w:r>
        <w:t xml:space="preserve">and which </w:t>
      </w:r>
      <w:r w:rsidRPr="00251A9E">
        <w:t xml:space="preserve">is compliant </w:t>
      </w:r>
      <w:r>
        <w:t xml:space="preserve">with the </w:t>
      </w:r>
      <w:r w:rsidRPr="00251A9E">
        <w:t>Britis</w:t>
      </w:r>
      <w:r>
        <w:t xml:space="preserve">h Standards Institution’s </w:t>
      </w:r>
      <w:r w:rsidRPr="00251A9E">
        <w:t>PAS</w:t>
      </w:r>
      <w:r>
        <w:t xml:space="preserve"> </w:t>
      </w:r>
      <w:r w:rsidRPr="00251A9E">
        <w:t>79</w:t>
      </w:r>
      <w:r w:rsidR="00260F15">
        <w:t>-1:2020</w:t>
      </w:r>
      <w:r>
        <w:t xml:space="preserve"> specification</w:t>
      </w:r>
      <w:r w:rsidRPr="00251A9E">
        <w:t>.</w:t>
      </w:r>
    </w:p>
    <w:p w14:paraId="4F2B7147" w14:textId="24D56967" w:rsidR="0095286A" w:rsidRDefault="00013204" w:rsidP="00B12678">
      <w:pPr>
        <w:pStyle w:val="Style1"/>
        <w:numPr>
          <w:ilvl w:val="0"/>
          <w:numId w:val="10"/>
        </w:numPr>
        <w:spacing w:before="120" w:line="240" w:lineRule="auto"/>
      </w:pPr>
      <w:r>
        <w:t xml:space="preserve">The </w:t>
      </w:r>
      <w:r w:rsidR="0095286A">
        <w:t>FRA</w:t>
      </w:r>
      <w:r>
        <w:t xml:space="preserve"> will include</w:t>
      </w:r>
      <w:r w:rsidR="0095286A">
        <w:t xml:space="preserve"> consideration for a</w:t>
      </w:r>
      <w:r>
        <w:t xml:space="preserve"> </w:t>
      </w:r>
      <w:r w:rsidR="0095286A">
        <w:t xml:space="preserve">building’s structure, </w:t>
      </w:r>
      <w:r w:rsidR="0095286A" w:rsidRPr="007513E9">
        <w:t>external walls and any common parts, including flat entrance doors</w:t>
      </w:r>
      <w:r w:rsidR="0095286A">
        <w:t xml:space="preserve"> (in line with </w:t>
      </w:r>
      <w:r w:rsidR="000C6E0D">
        <w:t xml:space="preserve">6.3 of this policy and </w:t>
      </w:r>
      <w:r w:rsidR="0095286A">
        <w:t>the Fire Safety Act 2021)</w:t>
      </w:r>
      <w:r w:rsidR="0095286A" w:rsidRPr="007513E9">
        <w:t>.</w:t>
      </w:r>
    </w:p>
    <w:p w14:paraId="6F90A410" w14:textId="1241A6B0" w:rsidR="0095286A" w:rsidRDefault="000B65FA" w:rsidP="00B12678">
      <w:pPr>
        <w:pStyle w:val="Style1"/>
        <w:numPr>
          <w:ilvl w:val="0"/>
          <w:numId w:val="10"/>
        </w:numPr>
        <w:spacing w:before="120" w:line="240" w:lineRule="auto"/>
      </w:pPr>
      <w:r w:rsidRPr="00C75048">
        <w:t xml:space="preserve">The </w:t>
      </w:r>
      <w:r w:rsidR="0095286A">
        <w:t>FRA</w:t>
      </w:r>
      <w:r w:rsidRPr="00C75048">
        <w:t xml:space="preserve"> will inform the level of passive and active fire precautions required for each property assessed. </w:t>
      </w:r>
    </w:p>
    <w:p w14:paraId="364AD7EA" w14:textId="3910B8C6" w:rsidR="00D40FEC" w:rsidRDefault="000B65FA" w:rsidP="00B12678">
      <w:pPr>
        <w:pStyle w:val="Style1"/>
        <w:numPr>
          <w:ilvl w:val="0"/>
          <w:numId w:val="10"/>
        </w:numPr>
        <w:spacing w:before="120" w:line="240" w:lineRule="auto"/>
      </w:pPr>
      <w:r w:rsidRPr="00C75048">
        <w:t xml:space="preserve"> The FRA will recommend a</w:t>
      </w:r>
      <w:r w:rsidR="009E5BB9" w:rsidRPr="00C75048">
        <w:t xml:space="preserve"> suitable evacuation strategy</w:t>
      </w:r>
      <w:r w:rsidR="00356A4E" w:rsidRPr="00C75048">
        <w:t xml:space="preserve"> based on its findings and relevant to the risk factors as seen at the time of </w:t>
      </w:r>
      <w:r w:rsidR="00C8217B">
        <w:t xml:space="preserve">the </w:t>
      </w:r>
      <w:r w:rsidR="00356A4E" w:rsidRPr="00C75048">
        <w:t>visit.</w:t>
      </w:r>
    </w:p>
    <w:p w14:paraId="4D7EEEDD" w14:textId="0357EDA6" w:rsidR="00C75048" w:rsidRDefault="00C75048" w:rsidP="00B12678">
      <w:pPr>
        <w:pStyle w:val="Style1"/>
        <w:spacing w:line="240" w:lineRule="auto"/>
      </w:pPr>
      <w:r w:rsidRPr="00C75048">
        <w:t>Where there is a managing agent for the common area</w:t>
      </w:r>
      <w:r w:rsidR="00C8217B">
        <w:t>, we</w:t>
      </w:r>
      <w:r w:rsidRPr="00C75048">
        <w:t xml:space="preserve"> will seek assurance </w:t>
      </w:r>
      <w:r w:rsidR="00C8217B">
        <w:t xml:space="preserve">that </w:t>
      </w:r>
      <w:r w:rsidRPr="00C75048">
        <w:t xml:space="preserve">these are managed to meet statutory </w:t>
      </w:r>
      <w:r w:rsidR="00282841">
        <w:t>obligations and</w:t>
      </w:r>
      <w:r>
        <w:t xml:space="preserve"> follow a procedure to ensure that recommendations on any FRA Arches Housing undertakes at the block are implemented by the managing agent in a timely manner. This will be monitored in the same way as blocks we own and manage</w:t>
      </w:r>
      <w:r w:rsidR="00C8217B">
        <w:t xml:space="preserve">. Managing agents that </w:t>
      </w:r>
      <w:r>
        <w:t>fail</w:t>
      </w:r>
      <w:r w:rsidR="00C8217B">
        <w:t xml:space="preserve"> to comply will</w:t>
      </w:r>
      <w:r>
        <w:t xml:space="preserve"> be reported to the appropriate authority </w:t>
      </w:r>
      <w:r w:rsidR="00C8217B">
        <w:t xml:space="preserve">(for example, </w:t>
      </w:r>
      <w:r>
        <w:t>Building Safety Regulator or South Yorkshire Fire Service</w:t>
      </w:r>
      <w:r w:rsidR="00C8217B">
        <w:t>)</w:t>
      </w:r>
      <w:r w:rsidR="0095286A">
        <w:t>.</w:t>
      </w:r>
    </w:p>
    <w:p w14:paraId="322D5D5E" w14:textId="77777777" w:rsidR="0095286A" w:rsidRDefault="00F02CC0" w:rsidP="00B12678">
      <w:pPr>
        <w:pStyle w:val="Style1"/>
        <w:spacing w:line="240" w:lineRule="auto"/>
      </w:pPr>
      <w:r w:rsidRPr="00C75048">
        <w:t xml:space="preserve">A </w:t>
      </w:r>
      <w:r w:rsidR="00674EA8" w:rsidRPr="00C75048">
        <w:t>Fire Management Plan will be developed for each block</w:t>
      </w:r>
      <w:r w:rsidR="0095286A">
        <w:t>:</w:t>
      </w:r>
    </w:p>
    <w:p w14:paraId="304998B3" w14:textId="77777777" w:rsidR="0095286A" w:rsidRDefault="0095286A" w:rsidP="00B12678">
      <w:pPr>
        <w:pStyle w:val="Style1"/>
        <w:numPr>
          <w:ilvl w:val="0"/>
          <w:numId w:val="11"/>
        </w:numPr>
        <w:spacing w:line="240" w:lineRule="auto"/>
      </w:pPr>
      <w:r>
        <w:lastRenderedPageBreak/>
        <w:t xml:space="preserve">The plan will </w:t>
      </w:r>
      <w:r w:rsidR="00674EA8" w:rsidRPr="00C75048">
        <w:t xml:space="preserve">demonstrate the requirements of the Building Safety Bill’s </w:t>
      </w:r>
      <w:r w:rsidR="00F02CC0" w:rsidRPr="00C75048">
        <w:t xml:space="preserve">Safety Case </w:t>
      </w:r>
      <w:r w:rsidR="00674EA8" w:rsidRPr="00C75048">
        <w:t>to ensure actions to mitigate and manage fire risk are being taken on an on</w:t>
      </w:r>
      <w:r w:rsidR="00FB2765">
        <w:t>-</w:t>
      </w:r>
      <w:r w:rsidR="00674EA8" w:rsidRPr="00C75048">
        <w:t xml:space="preserve"> going basis.</w:t>
      </w:r>
    </w:p>
    <w:p w14:paraId="287F2AC6" w14:textId="7B87F744" w:rsidR="0095286A" w:rsidRDefault="0095286A" w:rsidP="00B12678">
      <w:pPr>
        <w:pStyle w:val="Style1"/>
        <w:numPr>
          <w:ilvl w:val="0"/>
          <w:numId w:val="11"/>
        </w:numPr>
        <w:spacing w:line="240" w:lineRule="auto"/>
      </w:pPr>
      <w:r>
        <w:t>The plan will designate the Building Safety Manager for each block (this will usually</w:t>
      </w:r>
      <w:r w:rsidR="006C2CD7">
        <w:t>,</w:t>
      </w:r>
      <w:r>
        <w:t xml:space="preserve"> but may not always be</w:t>
      </w:r>
      <w:r w:rsidR="006C2CD7">
        <w:t>,</w:t>
      </w:r>
      <w:r>
        <w:t xml:space="preserve"> the Compliance Officer).</w:t>
      </w:r>
    </w:p>
    <w:p w14:paraId="1AFDB728" w14:textId="69DBB85C" w:rsidR="00F02CC0" w:rsidRDefault="002E4C78" w:rsidP="00B12678">
      <w:pPr>
        <w:pStyle w:val="Style1"/>
        <w:numPr>
          <w:ilvl w:val="0"/>
          <w:numId w:val="11"/>
        </w:numPr>
        <w:spacing w:line="240" w:lineRule="auto"/>
      </w:pPr>
      <w:r>
        <w:t xml:space="preserve">The </w:t>
      </w:r>
      <w:r w:rsidR="0095286A">
        <w:t>pl</w:t>
      </w:r>
      <w:r>
        <w:t xml:space="preserve">an will be reviewed annually alongside the </w:t>
      </w:r>
      <w:r w:rsidR="0095286A">
        <w:t xml:space="preserve">block </w:t>
      </w:r>
      <w:r>
        <w:t>F</w:t>
      </w:r>
      <w:r w:rsidR="0095286A">
        <w:t xml:space="preserve">RA </w:t>
      </w:r>
      <w:r w:rsidR="00935DBF">
        <w:t xml:space="preserve">and an assessment to establish if the block meets the criteria of a </w:t>
      </w:r>
      <w:r w:rsidR="00282841">
        <w:t>high-risk</w:t>
      </w:r>
      <w:r w:rsidR="00935DBF">
        <w:t xml:space="preserve"> building. If so</w:t>
      </w:r>
      <w:r w:rsidR="00C8217B">
        <w:t>,</w:t>
      </w:r>
      <w:r w:rsidR="00935DBF">
        <w:t xml:space="preserve"> when established</w:t>
      </w:r>
      <w:r w:rsidR="00C8217B">
        <w:t>,</w:t>
      </w:r>
      <w:r w:rsidR="00935DBF">
        <w:t xml:space="preserve"> an application to obtain a Building Registration Certificate will be submitted to the Building Safety Regulator.</w:t>
      </w:r>
    </w:p>
    <w:p w14:paraId="3784FC86" w14:textId="014B7997" w:rsidR="001570BB" w:rsidRDefault="001570BB" w:rsidP="00B12678">
      <w:pPr>
        <w:pStyle w:val="Style1"/>
        <w:numPr>
          <w:ilvl w:val="0"/>
          <w:numId w:val="11"/>
        </w:numPr>
        <w:spacing w:line="240" w:lineRule="auto"/>
      </w:pPr>
      <w:r>
        <w:t xml:space="preserve">Risk assessment principles for the </w:t>
      </w:r>
      <w:r w:rsidR="0095286A">
        <w:t>p</w:t>
      </w:r>
      <w:r>
        <w:t>lan will include:</w:t>
      </w:r>
    </w:p>
    <w:p w14:paraId="355AD66A" w14:textId="068AB169" w:rsidR="0037534F" w:rsidRPr="0037534F" w:rsidRDefault="0037534F" w:rsidP="00B12678">
      <w:pPr>
        <w:pStyle w:val="BodyText"/>
        <w:numPr>
          <w:ilvl w:val="0"/>
          <w:numId w:val="12"/>
        </w:numPr>
        <w:rPr>
          <w:rFonts w:ascii="Calibri" w:hAnsi="Calibri" w:cs="Calibri"/>
          <w:color w:val="0072CE"/>
        </w:rPr>
      </w:pPr>
      <w:r w:rsidRPr="0037534F">
        <w:rPr>
          <w:rFonts w:ascii="Calibri" w:hAnsi="Calibri" w:cs="Calibri"/>
          <w:color w:val="0072CE"/>
        </w:rPr>
        <w:t xml:space="preserve">identifying the </w:t>
      </w:r>
      <w:r w:rsidR="00282841" w:rsidRPr="0037534F">
        <w:rPr>
          <w:rFonts w:ascii="Calibri" w:hAnsi="Calibri" w:cs="Calibri"/>
          <w:color w:val="0072CE"/>
        </w:rPr>
        <w:t>hazards.</w:t>
      </w:r>
    </w:p>
    <w:p w14:paraId="78E06464" w14:textId="41E7040F" w:rsidR="0037534F" w:rsidRPr="0037534F" w:rsidRDefault="0037534F" w:rsidP="00B12678">
      <w:pPr>
        <w:pStyle w:val="BodyText"/>
        <w:numPr>
          <w:ilvl w:val="0"/>
          <w:numId w:val="12"/>
        </w:numPr>
        <w:rPr>
          <w:rFonts w:ascii="Calibri" w:hAnsi="Calibri" w:cs="Calibri"/>
          <w:color w:val="0072CE"/>
        </w:rPr>
      </w:pPr>
      <w:r w:rsidRPr="0037534F">
        <w:rPr>
          <w:rFonts w:ascii="Calibri" w:hAnsi="Calibri" w:cs="Calibri"/>
          <w:color w:val="0072CE"/>
        </w:rPr>
        <w:t xml:space="preserve">deciding who might be harmed and </w:t>
      </w:r>
      <w:r w:rsidR="00282841" w:rsidRPr="0037534F">
        <w:rPr>
          <w:rFonts w:ascii="Calibri" w:hAnsi="Calibri" w:cs="Calibri"/>
          <w:color w:val="0072CE"/>
        </w:rPr>
        <w:t>how.</w:t>
      </w:r>
    </w:p>
    <w:p w14:paraId="53783FE5" w14:textId="72810581" w:rsidR="0037534F" w:rsidRPr="0037534F" w:rsidRDefault="0037534F" w:rsidP="00B12678">
      <w:pPr>
        <w:pStyle w:val="BodyText"/>
        <w:numPr>
          <w:ilvl w:val="0"/>
          <w:numId w:val="12"/>
        </w:numPr>
        <w:rPr>
          <w:rFonts w:ascii="Calibri" w:hAnsi="Calibri" w:cs="Calibri"/>
          <w:color w:val="0072CE"/>
        </w:rPr>
      </w:pPr>
      <w:r w:rsidRPr="0037534F">
        <w:rPr>
          <w:rFonts w:ascii="Calibri" w:hAnsi="Calibri" w:cs="Calibri"/>
          <w:color w:val="0072CE"/>
        </w:rPr>
        <w:t xml:space="preserve">evaluating the risks associated with these </w:t>
      </w:r>
      <w:r w:rsidR="00282841" w:rsidRPr="0037534F">
        <w:rPr>
          <w:rFonts w:ascii="Calibri" w:hAnsi="Calibri" w:cs="Calibri"/>
          <w:color w:val="0072CE"/>
        </w:rPr>
        <w:t>hazards.</w:t>
      </w:r>
    </w:p>
    <w:p w14:paraId="47381FDD" w14:textId="248FB5C1" w:rsidR="0037534F" w:rsidRPr="0037534F" w:rsidRDefault="0037534F" w:rsidP="00B12678">
      <w:pPr>
        <w:pStyle w:val="BodyText"/>
        <w:numPr>
          <w:ilvl w:val="0"/>
          <w:numId w:val="12"/>
        </w:numPr>
        <w:rPr>
          <w:rFonts w:ascii="Calibri" w:hAnsi="Calibri" w:cs="Calibri"/>
          <w:color w:val="0072CE"/>
        </w:rPr>
      </w:pPr>
      <w:r w:rsidRPr="0037534F">
        <w:rPr>
          <w:rFonts w:ascii="Calibri" w:hAnsi="Calibri" w:cs="Calibri"/>
          <w:color w:val="0072CE"/>
        </w:rPr>
        <w:t xml:space="preserve">deciding on the necessary control and mitigation </w:t>
      </w:r>
      <w:r w:rsidR="00282841" w:rsidRPr="0037534F">
        <w:rPr>
          <w:rFonts w:ascii="Calibri" w:hAnsi="Calibri" w:cs="Calibri"/>
          <w:color w:val="0072CE"/>
        </w:rPr>
        <w:t>measures.</w:t>
      </w:r>
    </w:p>
    <w:p w14:paraId="4F2B3BCC" w14:textId="46CE851C" w:rsidR="0037534F" w:rsidRPr="0037534F" w:rsidRDefault="0037534F" w:rsidP="00B12678">
      <w:pPr>
        <w:pStyle w:val="BodyText"/>
        <w:numPr>
          <w:ilvl w:val="0"/>
          <w:numId w:val="12"/>
        </w:numPr>
        <w:rPr>
          <w:rFonts w:ascii="Calibri" w:hAnsi="Calibri" w:cs="Calibri"/>
          <w:color w:val="0072CE"/>
        </w:rPr>
      </w:pPr>
      <w:r w:rsidRPr="0037534F">
        <w:rPr>
          <w:rFonts w:ascii="Calibri" w:hAnsi="Calibri" w:cs="Calibri"/>
          <w:color w:val="0072CE"/>
        </w:rPr>
        <w:t>recording those findings and implementing them; and</w:t>
      </w:r>
    </w:p>
    <w:p w14:paraId="08B66755" w14:textId="609BE8AA" w:rsidR="001570BB" w:rsidRDefault="0037534F" w:rsidP="00B12678">
      <w:pPr>
        <w:pStyle w:val="BodyText"/>
        <w:numPr>
          <w:ilvl w:val="0"/>
          <w:numId w:val="12"/>
        </w:numPr>
        <w:spacing w:after="120"/>
        <w:ind w:left="1979" w:hanging="357"/>
        <w:rPr>
          <w:rFonts w:ascii="Calibri" w:hAnsi="Calibri" w:cs="Calibri"/>
          <w:color w:val="0072CE"/>
        </w:rPr>
      </w:pPr>
      <w:r w:rsidRPr="0037534F">
        <w:rPr>
          <w:rFonts w:ascii="Calibri" w:hAnsi="Calibri" w:cs="Calibri"/>
          <w:color w:val="0072CE"/>
        </w:rPr>
        <w:t>evaluating and</w:t>
      </w:r>
      <w:r w:rsidR="00FB7670">
        <w:rPr>
          <w:rFonts w:ascii="Calibri" w:hAnsi="Calibri" w:cs="Calibri"/>
          <w:color w:val="0072CE"/>
        </w:rPr>
        <w:t xml:space="preserve"> monitoring on an ongoing basis</w:t>
      </w:r>
      <w:r w:rsidR="0095286A">
        <w:rPr>
          <w:rFonts w:ascii="Calibri" w:hAnsi="Calibri" w:cs="Calibri"/>
          <w:color w:val="0072CE"/>
        </w:rPr>
        <w:t>.</w:t>
      </w:r>
    </w:p>
    <w:p w14:paraId="20437828" w14:textId="57C918BC" w:rsidR="00F37F7A" w:rsidRDefault="006D4707" w:rsidP="00B12678">
      <w:pPr>
        <w:pStyle w:val="Style1"/>
        <w:spacing w:line="240" w:lineRule="auto"/>
      </w:pPr>
      <w:r w:rsidRPr="00DD176D">
        <w:t>A</w:t>
      </w:r>
      <w:r w:rsidR="004E304B">
        <w:t xml:space="preserve"> premises information box </w:t>
      </w:r>
      <w:r w:rsidRPr="00DD176D">
        <w:t xml:space="preserve">will be installed at every block. This box will </w:t>
      </w:r>
      <w:r w:rsidR="00C963B5" w:rsidRPr="00DD176D">
        <w:t xml:space="preserve">include </w:t>
      </w:r>
      <w:r w:rsidRPr="00DD176D">
        <w:t>the following information:</w:t>
      </w:r>
    </w:p>
    <w:p w14:paraId="7A4B37A9" w14:textId="3D3D99BC" w:rsidR="00DD176D" w:rsidRDefault="00DD176D" w:rsidP="00B12678">
      <w:pPr>
        <w:pStyle w:val="BodyText"/>
        <w:numPr>
          <w:ilvl w:val="0"/>
          <w:numId w:val="2"/>
        </w:numPr>
        <w:ind w:left="1560"/>
        <w:rPr>
          <w:rFonts w:ascii="Calibri" w:hAnsi="Calibri" w:cs="Calibri"/>
          <w:color w:val="0072CE"/>
        </w:rPr>
      </w:pPr>
      <w:r>
        <w:rPr>
          <w:rFonts w:ascii="Calibri" w:hAnsi="Calibri" w:cs="Calibri"/>
          <w:color w:val="0072CE"/>
        </w:rPr>
        <w:t xml:space="preserve">Floor </w:t>
      </w:r>
      <w:r w:rsidR="00282841">
        <w:rPr>
          <w:rFonts w:ascii="Calibri" w:hAnsi="Calibri" w:cs="Calibri"/>
          <w:color w:val="0072CE"/>
        </w:rPr>
        <w:t>plan.</w:t>
      </w:r>
    </w:p>
    <w:p w14:paraId="32A3538B" w14:textId="1FD8C217" w:rsidR="00DD176D" w:rsidRDefault="00DD176D" w:rsidP="00B12678">
      <w:pPr>
        <w:pStyle w:val="BodyText"/>
        <w:numPr>
          <w:ilvl w:val="0"/>
          <w:numId w:val="2"/>
        </w:numPr>
        <w:ind w:left="1560"/>
        <w:rPr>
          <w:rFonts w:ascii="Calibri" w:hAnsi="Calibri" w:cs="Calibri"/>
          <w:color w:val="0072CE"/>
        </w:rPr>
      </w:pPr>
      <w:r>
        <w:rPr>
          <w:rFonts w:ascii="Calibri" w:hAnsi="Calibri" w:cs="Calibri"/>
          <w:color w:val="0072CE"/>
        </w:rPr>
        <w:t xml:space="preserve">Evacuation </w:t>
      </w:r>
      <w:r w:rsidR="00282841">
        <w:rPr>
          <w:rFonts w:ascii="Calibri" w:hAnsi="Calibri" w:cs="Calibri"/>
          <w:color w:val="0072CE"/>
        </w:rPr>
        <w:t>Strategy.</w:t>
      </w:r>
    </w:p>
    <w:p w14:paraId="3EC8CCCB" w14:textId="11AFACFE" w:rsidR="00DD176D" w:rsidRDefault="00DD176D" w:rsidP="00B12678">
      <w:pPr>
        <w:pStyle w:val="BodyText"/>
        <w:numPr>
          <w:ilvl w:val="0"/>
          <w:numId w:val="2"/>
        </w:numPr>
        <w:ind w:left="1560"/>
        <w:rPr>
          <w:rFonts w:ascii="Calibri" w:hAnsi="Calibri" w:cs="Calibri"/>
          <w:color w:val="0072CE"/>
        </w:rPr>
      </w:pPr>
      <w:r>
        <w:rPr>
          <w:rFonts w:ascii="Calibri" w:hAnsi="Calibri" w:cs="Calibri"/>
          <w:color w:val="0072CE"/>
        </w:rPr>
        <w:t xml:space="preserve">PEEPS </w:t>
      </w:r>
      <w:r w:rsidR="00D53B97">
        <w:rPr>
          <w:rFonts w:ascii="Calibri" w:hAnsi="Calibri" w:cs="Calibri"/>
          <w:color w:val="0072CE"/>
        </w:rPr>
        <w:t xml:space="preserve">information (GDPR compliant) for </w:t>
      </w:r>
      <w:r>
        <w:rPr>
          <w:rFonts w:ascii="Calibri" w:hAnsi="Calibri" w:cs="Calibri"/>
          <w:color w:val="0072CE"/>
        </w:rPr>
        <w:t>location</w:t>
      </w:r>
      <w:r w:rsidR="00D53B97">
        <w:rPr>
          <w:rFonts w:ascii="Calibri" w:hAnsi="Calibri" w:cs="Calibri"/>
          <w:color w:val="0072CE"/>
        </w:rPr>
        <w:t>/</w:t>
      </w:r>
      <w:r w:rsidR="00405B5B">
        <w:rPr>
          <w:rFonts w:ascii="Calibri" w:hAnsi="Calibri" w:cs="Calibri"/>
          <w:color w:val="0072CE"/>
        </w:rPr>
        <w:t>identification; and</w:t>
      </w:r>
    </w:p>
    <w:p w14:paraId="386564A8" w14:textId="1B8C57E1" w:rsidR="00DD176D" w:rsidRDefault="00DD176D" w:rsidP="00B12678">
      <w:pPr>
        <w:pStyle w:val="BodyText"/>
        <w:numPr>
          <w:ilvl w:val="0"/>
          <w:numId w:val="2"/>
        </w:numPr>
        <w:spacing w:after="120"/>
        <w:ind w:left="1560" w:hanging="357"/>
        <w:rPr>
          <w:rFonts w:ascii="Calibri" w:hAnsi="Calibri" w:cs="Calibri"/>
          <w:color w:val="0072CE"/>
        </w:rPr>
      </w:pPr>
      <w:r>
        <w:rPr>
          <w:rFonts w:ascii="Calibri" w:hAnsi="Calibri" w:cs="Calibri"/>
          <w:color w:val="0072CE"/>
        </w:rPr>
        <w:t>Critical Incident contact details</w:t>
      </w:r>
      <w:r w:rsidR="00405B5B">
        <w:rPr>
          <w:rFonts w:ascii="Calibri" w:hAnsi="Calibri" w:cs="Calibri"/>
          <w:color w:val="0072CE"/>
        </w:rPr>
        <w:t>.</w:t>
      </w:r>
    </w:p>
    <w:p w14:paraId="47BA0DC7" w14:textId="77777777" w:rsidR="00983927" w:rsidRPr="00983927" w:rsidRDefault="00983927" w:rsidP="00983927">
      <w:pPr>
        <w:pStyle w:val="Style1"/>
        <w:spacing w:line="240" w:lineRule="auto"/>
      </w:pPr>
      <w:r w:rsidRPr="00983927">
        <w:t>Personal Emergency Evacuation Plans (PEEPs) will be carried out by a competent person, reviewed annually, and made available to the Fire and Rescue Service in the event of an evacuation, as follows:</w:t>
      </w:r>
    </w:p>
    <w:p w14:paraId="47AF776A" w14:textId="1392930C" w:rsidR="00983927" w:rsidRPr="00983927" w:rsidRDefault="00983927" w:rsidP="00983927">
      <w:pPr>
        <w:pStyle w:val="BodyText"/>
        <w:numPr>
          <w:ilvl w:val="0"/>
          <w:numId w:val="2"/>
        </w:numPr>
        <w:ind w:left="1560"/>
        <w:rPr>
          <w:rFonts w:ascii="Calibri" w:hAnsi="Calibri" w:cs="Calibri"/>
          <w:color w:val="0072CE"/>
        </w:rPr>
      </w:pPr>
      <w:r w:rsidRPr="00983927">
        <w:rPr>
          <w:rFonts w:ascii="Calibri" w:hAnsi="Calibri" w:cs="Calibri"/>
          <w:color w:val="0072CE"/>
        </w:rPr>
        <w:t>For any disabled resident and/or employee within any building where we provide care services and are the employer (i.e. supported housing schemes); and</w:t>
      </w:r>
    </w:p>
    <w:p w14:paraId="3184FB78" w14:textId="77777777" w:rsidR="00983927" w:rsidRPr="00983927" w:rsidRDefault="00983927" w:rsidP="00983927">
      <w:pPr>
        <w:pStyle w:val="BodyText"/>
        <w:numPr>
          <w:ilvl w:val="0"/>
          <w:numId w:val="2"/>
        </w:numPr>
        <w:spacing w:after="120"/>
        <w:ind w:left="1559" w:hanging="357"/>
        <w:rPr>
          <w:rFonts w:ascii="Calibri" w:hAnsi="Calibri" w:cs="Calibri"/>
          <w:color w:val="0072CE"/>
        </w:rPr>
      </w:pPr>
      <w:r w:rsidRPr="00983927">
        <w:rPr>
          <w:rFonts w:ascii="Calibri" w:hAnsi="Calibri" w:cs="Calibri"/>
          <w:color w:val="0072CE"/>
        </w:rPr>
        <w:t>For any resident within a building where we have a responsibility for carrying out an FRA, where we have been notified that they are storing oxygen in their home for medical use.</w:t>
      </w:r>
    </w:p>
    <w:p w14:paraId="100B869B" w14:textId="1D8D8D8F" w:rsidR="00101FA4" w:rsidRDefault="00101FA4" w:rsidP="00101FA4">
      <w:pPr>
        <w:pStyle w:val="Style1"/>
        <w:spacing w:line="240" w:lineRule="auto"/>
      </w:pPr>
      <w:r w:rsidRPr="00101FA4">
        <w:t xml:space="preserve">Fire </w:t>
      </w:r>
      <w:r>
        <w:t>evacuation strateg</w:t>
      </w:r>
      <w:r w:rsidR="00983927">
        <w:t>ies</w:t>
      </w:r>
      <w:r w:rsidRPr="00101FA4">
        <w:t xml:space="preserve"> will be determined on a </w:t>
      </w:r>
      <w:r w:rsidR="00282841" w:rsidRPr="00101FA4">
        <w:t>building-by-building</w:t>
      </w:r>
      <w:r w:rsidRPr="00101FA4">
        <w:t xml:space="preserve"> basis, in accordance with the recommendations of t</w:t>
      </w:r>
      <w:r>
        <w:t xml:space="preserve">he competent fire risk </w:t>
      </w:r>
      <w:proofErr w:type="gramStart"/>
      <w:r>
        <w:t>assessor, and</w:t>
      </w:r>
      <w:proofErr w:type="gramEnd"/>
      <w:r>
        <w:t xml:space="preserve"> will either be ‘stay put’ or ‘stay safe’.</w:t>
      </w:r>
    </w:p>
    <w:p w14:paraId="12B67A3D" w14:textId="75FA4E05" w:rsidR="00983927" w:rsidRPr="00251A9E" w:rsidRDefault="00983927" w:rsidP="00983927">
      <w:pPr>
        <w:pStyle w:val="Style1"/>
        <w:spacing w:line="240" w:lineRule="auto"/>
      </w:pPr>
      <w:r>
        <w:t>We are</w:t>
      </w:r>
      <w:r w:rsidRPr="00251A9E">
        <w:t xml:space="preserve"> committed to working with </w:t>
      </w:r>
      <w:r>
        <w:t>South Yorkshire Fire and Rescue Service</w:t>
      </w:r>
      <w:r w:rsidRPr="00251A9E">
        <w:t xml:space="preserve"> to create safer places to live and work. </w:t>
      </w:r>
      <w:r>
        <w:t>This j</w:t>
      </w:r>
      <w:r w:rsidRPr="00251A9E">
        <w:t xml:space="preserve">oint working </w:t>
      </w:r>
      <w:r>
        <w:t>may</w:t>
      </w:r>
      <w:r w:rsidRPr="00251A9E">
        <w:t xml:space="preserve"> include sharing information, </w:t>
      </w:r>
      <w:r>
        <w:t>FRA</w:t>
      </w:r>
      <w:r w:rsidRPr="00251A9E">
        <w:t xml:space="preserve"> </w:t>
      </w:r>
      <w:r w:rsidRPr="00101FA4">
        <w:t>review</w:t>
      </w:r>
      <w:r>
        <w:t>s</w:t>
      </w:r>
      <w:r w:rsidRPr="00101FA4">
        <w:t xml:space="preserve"> </w:t>
      </w:r>
      <w:r w:rsidRPr="00251A9E">
        <w:t xml:space="preserve">and </w:t>
      </w:r>
      <w:r>
        <w:t>staff t</w:t>
      </w:r>
      <w:r w:rsidRPr="00251A9E">
        <w:t>raining.</w:t>
      </w:r>
    </w:p>
    <w:p w14:paraId="264D76A5" w14:textId="0ED7CC5D" w:rsidR="00101FA4" w:rsidRDefault="00101FA4" w:rsidP="00101FA4">
      <w:pPr>
        <w:pStyle w:val="Style1"/>
        <w:spacing w:line="240" w:lineRule="auto"/>
      </w:pPr>
      <w:r w:rsidRPr="00BB481A">
        <w:t>W</w:t>
      </w:r>
      <w:r>
        <w:t xml:space="preserve">hen letting </w:t>
      </w:r>
      <w:r w:rsidR="00282841" w:rsidRPr="00BB481A">
        <w:t>properties,</w:t>
      </w:r>
      <w:r w:rsidRPr="00BB481A">
        <w:t xml:space="preserve"> </w:t>
      </w:r>
      <w:r>
        <w:t xml:space="preserve">we will </w:t>
      </w:r>
      <w:r w:rsidRPr="00BB481A">
        <w:t>consider</w:t>
      </w:r>
      <w:r w:rsidRPr="00251A9E">
        <w:t xml:space="preserve"> the suitability of the accommodation for the prospective </w:t>
      </w:r>
      <w:r>
        <w:t>resident</w:t>
      </w:r>
      <w:r w:rsidRPr="00251A9E">
        <w:t xml:space="preserve"> </w:t>
      </w:r>
      <w:r>
        <w:t>in respect of</w:t>
      </w:r>
      <w:r w:rsidRPr="00251A9E">
        <w:t xml:space="preserve"> fire safety.</w:t>
      </w:r>
      <w:r>
        <w:t xml:space="preserve"> </w:t>
      </w:r>
      <w:r w:rsidRPr="000076FD">
        <w:t xml:space="preserve">We </w:t>
      </w:r>
      <w:r w:rsidR="00983927">
        <w:t xml:space="preserve">will refer </w:t>
      </w:r>
      <w:r w:rsidRPr="000076FD">
        <w:t xml:space="preserve">new tenancies to </w:t>
      </w:r>
      <w:r>
        <w:t>South Yorkshire</w:t>
      </w:r>
      <w:r w:rsidRPr="000076FD">
        <w:t xml:space="preserve"> Fire and Rescue Service for a free home fire safety check</w:t>
      </w:r>
      <w:r w:rsidR="00983927">
        <w:t xml:space="preserve"> where appropriate.</w:t>
      </w:r>
    </w:p>
    <w:p w14:paraId="6BBE76A0" w14:textId="3CC070AA" w:rsidR="00983927" w:rsidRDefault="006528BE" w:rsidP="00983927">
      <w:pPr>
        <w:pStyle w:val="Style1"/>
        <w:spacing w:line="240" w:lineRule="auto"/>
      </w:pPr>
      <w:r>
        <w:t xml:space="preserve">Where we are the building </w:t>
      </w:r>
      <w:r w:rsidR="00282841">
        <w:t>owner,</w:t>
      </w:r>
      <w:r>
        <w:t xml:space="preserve"> w</w:t>
      </w:r>
      <w:r w:rsidR="00983927">
        <w:t xml:space="preserve">e will keep fire safety </w:t>
      </w:r>
      <w:proofErr w:type="gramStart"/>
      <w:r w:rsidR="00983927">
        <w:t>log b</w:t>
      </w:r>
      <w:r w:rsidR="00983927" w:rsidRPr="00251A9E">
        <w:t>ook</w:t>
      </w:r>
      <w:r w:rsidR="00983927">
        <w:t>s</w:t>
      </w:r>
      <w:proofErr w:type="gramEnd"/>
      <w:r w:rsidR="00983927" w:rsidRPr="00251A9E">
        <w:t xml:space="preserve"> securely on site </w:t>
      </w:r>
      <w:r w:rsidR="00983927">
        <w:t>(or electronically for our managed supported schemes)</w:t>
      </w:r>
      <w:r w:rsidR="00983927" w:rsidRPr="00251A9E">
        <w:t xml:space="preserve"> for all </w:t>
      </w:r>
      <w:r w:rsidR="00983927">
        <w:t>properties on the FRA programme.</w:t>
      </w:r>
    </w:p>
    <w:p w14:paraId="2D5C75A7" w14:textId="7AFF06B6" w:rsidR="00983927" w:rsidRDefault="00983927" w:rsidP="00983927">
      <w:pPr>
        <w:pStyle w:val="Style1"/>
        <w:spacing w:line="240" w:lineRule="auto"/>
      </w:pPr>
      <w:r>
        <w:lastRenderedPageBreak/>
        <w:t xml:space="preserve">We </w:t>
      </w:r>
      <w:r w:rsidRPr="00251A9E">
        <w:t xml:space="preserve">will </w:t>
      </w:r>
      <w:r>
        <w:t>operate</w:t>
      </w:r>
      <w:r w:rsidRPr="00251A9E">
        <w:t xml:space="preserve"> </w:t>
      </w:r>
      <w:r>
        <w:t xml:space="preserve">with </w:t>
      </w:r>
      <w:r w:rsidRPr="00251A9E">
        <w:t>robust process</w:t>
      </w:r>
      <w:r>
        <w:t>es</w:t>
      </w:r>
      <w:r w:rsidRPr="00251A9E">
        <w:t xml:space="preserve"> </w:t>
      </w:r>
      <w:r>
        <w:t>to manage resident</w:t>
      </w:r>
      <w:r w:rsidRPr="00251A9E">
        <w:t xml:space="preserve"> vulnerability issues</w:t>
      </w:r>
      <w:r w:rsidR="00A37024">
        <w:t xml:space="preserve"> or other key fire risks (such as hoarding)</w:t>
      </w:r>
      <w:r w:rsidRPr="00251A9E">
        <w:t xml:space="preserve"> </w:t>
      </w:r>
      <w:r w:rsidR="00A37024">
        <w:t xml:space="preserve">that </w:t>
      </w:r>
      <w:r w:rsidRPr="00251A9E">
        <w:t>are known or identified</w:t>
      </w:r>
      <w:r w:rsidR="00A37024">
        <w:t>,</w:t>
      </w:r>
      <w:r w:rsidRPr="00251A9E">
        <w:t xml:space="preserve"> whilst </w:t>
      </w:r>
      <w:r>
        <w:t>ensuring we</w:t>
      </w:r>
      <w:r w:rsidRPr="00251A9E">
        <w:t xml:space="preserve"> </w:t>
      </w:r>
      <w:r>
        <w:t>s</w:t>
      </w:r>
      <w:r w:rsidRPr="00251A9E">
        <w:t>afeguar</w:t>
      </w:r>
      <w:r>
        <w:t>d the wellbeing of the resident.</w:t>
      </w:r>
    </w:p>
    <w:p w14:paraId="431C60D4" w14:textId="18B826C6" w:rsidR="00217397" w:rsidRDefault="00217397" w:rsidP="00217397">
      <w:pPr>
        <w:pStyle w:val="Style1"/>
        <w:spacing w:line="240" w:lineRule="auto"/>
      </w:pPr>
      <w:r>
        <w:t>We</w:t>
      </w:r>
      <w:r w:rsidRPr="00607982">
        <w:t xml:space="preserve"> </w:t>
      </w:r>
      <w:r w:rsidRPr="00217397">
        <w:t>will not</w:t>
      </w:r>
      <w:r w:rsidRPr="00607982">
        <w:t xml:space="preserve"> permit the storage of</w:t>
      </w:r>
      <w:r>
        <w:t xml:space="preserve"> mobility scooters within internal </w:t>
      </w:r>
      <w:r w:rsidRPr="00607982">
        <w:t>comm</w:t>
      </w:r>
      <w:r>
        <w:t>unal areas.</w:t>
      </w:r>
    </w:p>
    <w:p w14:paraId="4581CFE3" w14:textId="38B8A46A" w:rsidR="00B739FA" w:rsidRDefault="0096510C" w:rsidP="00470D00">
      <w:pPr>
        <w:pStyle w:val="Style1"/>
        <w:spacing w:line="240" w:lineRule="auto"/>
      </w:pPr>
      <w:r w:rsidRPr="00B739FA">
        <w:t xml:space="preserve">The Complaints Policy will be amended to ensure that any complaint related to building or fire safety is </w:t>
      </w:r>
      <w:r w:rsidR="00C00BAA" w:rsidRPr="00B739FA">
        <w:t xml:space="preserve">immediately </w:t>
      </w:r>
      <w:r w:rsidRPr="00B739FA">
        <w:t xml:space="preserve">notified to the </w:t>
      </w:r>
      <w:r w:rsidR="00C00BAA" w:rsidRPr="00B739FA">
        <w:t xml:space="preserve">Head of Asset Operations and the </w:t>
      </w:r>
      <w:r w:rsidRPr="00B739FA">
        <w:t>Director of Operations</w:t>
      </w:r>
      <w:r w:rsidR="004E7151">
        <w:t xml:space="preserve"> who will monitor </w:t>
      </w:r>
      <w:r w:rsidR="00405B5B">
        <w:t xml:space="preserve">these </w:t>
      </w:r>
      <w:r w:rsidR="004E7151">
        <w:t>monthly</w:t>
      </w:r>
      <w:r w:rsidR="00405B5B">
        <w:t>. T</w:t>
      </w:r>
      <w:r w:rsidR="00C00BAA" w:rsidRPr="00B739FA">
        <w:t>his is</w:t>
      </w:r>
      <w:r w:rsidRPr="00B739FA">
        <w:t xml:space="preserve"> to ensure</w:t>
      </w:r>
      <w:r w:rsidR="00405B5B">
        <w:t xml:space="preserve"> that resident safety concerns are addressed, and any p</w:t>
      </w:r>
      <w:r w:rsidRPr="00B739FA">
        <w:t>attern</w:t>
      </w:r>
      <w:r w:rsidR="00405B5B">
        <w:t>s and trends are quickly</w:t>
      </w:r>
      <w:r w:rsidRPr="00B739FA">
        <w:t xml:space="preserve"> </w:t>
      </w:r>
      <w:r w:rsidR="00C00BAA" w:rsidRPr="00B739FA">
        <w:t>identified.</w:t>
      </w:r>
    </w:p>
    <w:p w14:paraId="3FE57509" w14:textId="50AE13BC" w:rsidR="00016FDF" w:rsidRPr="009047EE" w:rsidRDefault="00405B5B" w:rsidP="00B12678">
      <w:pPr>
        <w:pStyle w:val="Style1"/>
        <w:spacing w:line="240" w:lineRule="auto"/>
      </w:pPr>
      <w:r w:rsidRPr="009047EE">
        <w:t xml:space="preserve">We </w:t>
      </w:r>
      <w:r w:rsidR="008F40F8" w:rsidRPr="009047EE">
        <w:t xml:space="preserve">will </w:t>
      </w:r>
      <w:r w:rsidRPr="009047EE">
        <w:t>undertake gas and electrical s</w:t>
      </w:r>
      <w:r w:rsidR="004149A2" w:rsidRPr="009047EE">
        <w:t>afety cyclical programmes</w:t>
      </w:r>
      <w:r w:rsidR="00FD4825" w:rsidRPr="009047EE">
        <w:t xml:space="preserve"> (and re-let/mutual exchange safety checks</w:t>
      </w:r>
      <w:r w:rsidR="009047EE" w:rsidRPr="009047EE">
        <w:t>)</w:t>
      </w:r>
      <w:r w:rsidR="00FD4825" w:rsidRPr="009047EE">
        <w:t>,</w:t>
      </w:r>
      <w:r w:rsidR="004149A2" w:rsidRPr="009047EE">
        <w:t xml:space="preserve"> </w:t>
      </w:r>
      <w:r w:rsidR="00FD4825" w:rsidRPr="009047EE">
        <w:t xml:space="preserve">in line with the legislative requirements </w:t>
      </w:r>
      <w:r w:rsidR="00016FDF" w:rsidRPr="009047EE">
        <w:t xml:space="preserve">to reduce the risk of fire from gas </w:t>
      </w:r>
      <w:r w:rsidR="004149A2" w:rsidRPr="009047EE">
        <w:t>or electrical faults.</w:t>
      </w:r>
    </w:p>
    <w:p w14:paraId="292D921D" w14:textId="40AB1F49" w:rsidR="00B12678" w:rsidRDefault="00B12678" w:rsidP="00B12678">
      <w:pPr>
        <w:pStyle w:val="Heading1"/>
      </w:pPr>
      <w:bookmarkStart w:id="4" w:name="_Toc79762744"/>
      <w:r w:rsidRPr="00E71E4A">
        <w:t>Policy</w:t>
      </w:r>
      <w:r>
        <w:t xml:space="preserve"> Scope</w:t>
      </w:r>
      <w:bookmarkEnd w:id="4"/>
    </w:p>
    <w:p w14:paraId="544B1C4E" w14:textId="77777777" w:rsidR="00B12678" w:rsidRDefault="00B12678" w:rsidP="00B12678">
      <w:pPr>
        <w:pStyle w:val="Style1"/>
        <w:spacing w:line="240" w:lineRule="auto"/>
      </w:pPr>
      <w:r>
        <w:t xml:space="preserve">This policy forms part of Arches Housing management framework for the management of fire risk.  Additional information relating to our management framework includes: </w:t>
      </w:r>
    </w:p>
    <w:p w14:paraId="6089B7E6" w14:textId="77777777" w:rsidR="00B12678" w:rsidRPr="00922CE8" w:rsidRDefault="00B12678" w:rsidP="00B12678">
      <w:pPr>
        <w:pStyle w:val="BodyText"/>
        <w:numPr>
          <w:ilvl w:val="0"/>
          <w:numId w:val="3"/>
        </w:numPr>
        <w:ind w:left="1418" w:hanging="567"/>
        <w:rPr>
          <w:rFonts w:ascii="Calibri" w:hAnsi="Calibri" w:cs="Calibri"/>
          <w:color w:val="0072CE"/>
          <w:szCs w:val="24"/>
        </w:rPr>
      </w:pPr>
      <w:r>
        <w:rPr>
          <w:rFonts w:ascii="Calibri" w:hAnsi="Calibri" w:cs="Calibri"/>
          <w:color w:val="0072CE"/>
          <w:szCs w:val="24"/>
        </w:rPr>
        <w:t>Fire Risk Assessments and the implementation of an action plan of significant findings.</w:t>
      </w:r>
    </w:p>
    <w:p w14:paraId="1E60CB0C" w14:textId="77777777" w:rsidR="00B12678" w:rsidRDefault="00B12678" w:rsidP="00B12678">
      <w:pPr>
        <w:pStyle w:val="BodyText"/>
        <w:numPr>
          <w:ilvl w:val="0"/>
          <w:numId w:val="3"/>
        </w:numPr>
        <w:ind w:left="1418" w:hanging="567"/>
        <w:rPr>
          <w:rFonts w:ascii="Calibri" w:hAnsi="Calibri" w:cs="Calibri"/>
          <w:color w:val="0072CE"/>
          <w:szCs w:val="24"/>
        </w:rPr>
      </w:pPr>
      <w:r>
        <w:rPr>
          <w:rFonts w:ascii="Calibri" w:hAnsi="Calibri" w:cs="Calibri"/>
          <w:color w:val="0072CE"/>
          <w:szCs w:val="24"/>
        </w:rPr>
        <w:t>Fire Management Plans.</w:t>
      </w:r>
    </w:p>
    <w:p w14:paraId="025A52B2" w14:textId="77777777" w:rsidR="00B12678" w:rsidRDefault="00B12678" w:rsidP="00B12678">
      <w:pPr>
        <w:pStyle w:val="BodyText"/>
        <w:numPr>
          <w:ilvl w:val="0"/>
          <w:numId w:val="3"/>
        </w:numPr>
        <w:ind w:left="1418" w:hanging="567"/>
        <w:rPr>
          <w:rFonts w:ascii="Calibri" w:hAnsi="Calibri" w:cs="Calibri"/>
          <w:color w:val="0072CE"/>
          <w:szCs w:val="24"/>
        </w:rPr>
      </w:pPr>
      <w:r>
        <w:rPr>
          <w:rFonts w:ascii="Calibri" w:hAnsi="Calibri" w:cs="Calibri"/>
          <w:color w:val="0072CE"/>
          <w:szCs w:val="24"/>
        </w:rPr>
        <w:t>Provision of fire safety information for tenants.</w:t>
      </w:r>
    </w:p>
    <w:p w14:paraId="5E232724" w14:textId="77777777" w:rsidR="00B12678" w:rsidRDefault="00B12678" w:rsidP="00B12678">
      <w:pPr>
        <w:pStyle w:val="BodyText"/>
        <w:numPr>
          <w:ilvl w:val="0"/>
          <w:numId w:val="3"/>
        </w:numPr>
        <w:ind w:left="1418" w:hanging="567"/>
        <w:rPr>
          <w:rFonts w:ascii="Calibri" w:hAnsi="Calibri" w:cs="Calibri"/>
          <w:color w:val="0072CE"/>
          <w:szCs w:val="24"/>
        </w:rPr>
      </w:pPr>
      <w:r>
        <w:rPr>
          <w:rFonts w:ascii="Calibri" w:hAnsi="Calibri" w:cs="Calibri"/>
          <w:color w:val="0072CE"/>
          <w:szCs w:val="24"/>
        </w:rPr>
        <w:t>Fire risk management procedures including weekly testing, monthly, six monthly and annual inspections.</w:t>
      </w:r>
    </w:p>
    <w:p w14:paraId="05A17DEE" w14:textId="77777777" w:rsidR="00B12678" w:rsidRDefault="00B12678" w:rsidP="00B12678">
      <w:pPr>
        <w:pStyle w:val="BodyText"/>
        <w:numPr>
          <w:ilvl w:val="0"/>
          <w:numId w:val="3"/>
        </w:numPr>
        <w:ind w:left="1418" w:hanging="567"/>
        <w:rPr>
          <w:rFonts w:ascii="Calibri" w:hAnsi="Calibri" w:cs="Calibri"/>
          <w:color w:val="0072CE"/>
          <w:szCs w:val="24"/>
        </w:rPr>
      </w:pPr>
      <w:r>
        <w:rPr>
          <w:rFonts w:ascii="Calibri" w:hAnsi="Calibri" w:cs="Calibri"/>
          <w:color w:val="0072CE"/>
          <w:szCs w:val="24"/>
        </w:rPr>
        <w:t>Fire risk inspection reports.</w:t>
      </w:r>
    </w:p>
    <w:p w14:paraId="1F68C285" w14:textId="77777777" w:rsidR="00B12678" w:rsidRDefault="00B12678" w:rsidP="00B12678">
      <w:pPr>
        <w:pStyle w:val="BodyText"/>
        <w:numPr>
          <w:ilvl w:val="0"/>
          <w:numId w:val="3"/>
        </w:numPr>
        <w:ind w:left="1418" w:hanging="567"/>
        <w:rPr>
          <w:rFonts w:ascii="Calibri" w:hAnsi="Calibri" w:cs="Calibri"/>
          <w:color w:val="0072CE"/>
          <w:szCs w:val="24"/>
        </w:rPr>
      </w:pPr>
      <w:r>
        <w:rPr>
          <w:rFonts w:ascii="Calibri" w:hAnsi="Calibri" w:cs="Calibri"/>
          <w:color w:val="0072CE"/>
          <w:szCs w:val="24"/>
        </w:rPr>
        <w:t>Provision of training.</w:t>
      </w:r>
    </w:p>
    <w:p w14:paraId="10FB1E7E" w14:textId="77777777" w:rsidR="00B12678" w:rsidRDefault="00B12678" w:rsidP="00B12678">
      <w:pPr>
        <w:pStyle w:val="BodyText"/>
        <w:numPr>
          <w:ilvl w:val="0"/>
          <w:numId w:val="3"/>
        </w:numPr>
        <w:ind w:left="1418" w:hanging="567"/>
        <w:rPr>
          <w:rFonts w:ascii="Calibri" w:hAnsi="Calibri" w:cs="Calibri"/>
          <w:color w:val="0072CE"/>
          <w:szCs w:val="24"/>
        </w:rPr>
      </w:pPr>
      <w:r>
        <w:rPr>
          <w:rFonts w:ascii="Calibri" w:hAnsi="Calibri" w:cs="Calibri"/>
          <w:color w:val="0072CE"/>
          <w:szCs w:val="24"/>
        </w:rPr>
        <w:t>Liaison with the relevant fire safety and other enforcing authorities.</w:t>
      </w:r>
    </w:p>
    <w:p w14:paraId="0CCD87C4" w14:textId="77777777" w:rsidR="00B12678" w:rsidRDefault="00B12678" w:rsidP="00B12678">
      <w:pPr>
        <w:pStyle w:val="BodyText"/>
        <w:numPr>
          <w:ilvl w:val="0"/>
          <w:numId w:val="3"/>
        </w:numPr>
        <w:ind w:left="1418" w:hanging="567"/>
        <w:rPr>
          <w:rFonts w:ascii="Calibri" w:hAnsi="Calibri" w:cs="Calibri"/>
          <w:color w:val="0072CE"/>
          <w:szCs w:val="24"/>
        </w:rPr>
      </w:pPr>
      <w:r>
        <w:rPr>
          <w:rFonts w:ascii="Calibri" w:hAnsi="Calibri" w:cs="Calibri"/>
          <w:color w:val="0072CE"/>
          <w:szCs w:val="24"/>
        </w:rPr>
        <w:t>Servicing and maintenance of all fire protection equipment in line with applicable British Standards.</w:t>
      </w:r>
    </w:p>
    <w:p w14:paraId="02A9CACB" w14:textId="04565536" w:rsidR="00166A4B" w:rsidRDefault="00166A4B" w:rsidP="00B12678">
      <w:pPr>
        <w:pStyle w:val="Heading1"/>
      </w:pPr>
      <w:bookmarkStart w:id="5" w:name="_Toc79762745"/>
      <w:r>
        <w:t>Inspection Programmes</w:t>
      </w:r>
      <w:bookmarkEnd w:id="5"/>
    </w:p>
    <w:p w14:paraId="5C969E0A" w14:textId="77777777" w:rsidR="00405B5B" w:rsidRDefault="00166A4B" w:rsidP="00B12678">
      <w:pPr>
        <w:pStyle w:val="Style1"/>
        <w:spacing w:line="240" w:lineRule="auto"/>
      </w:pPr>
      <w:r w:rsidRPr="00405B5B">
        <w:rPr>
          <w:b/>
        </w:rPr>
        <w:t>FRAs</w:t>
      </w:r>
      <w:r w:rsidR="00405B5B">
        <w:t xml:space="preserve"> </w:t>
      </w:r>
    </w:p>
    <w:p w14:paraId="0ED8713A" w14:textId="46A5AACF" w:rsidR="00166A4B" w:rsidRPr="00405B5B" w:rsidRDefault="00166A4B" w:rsidP="00BD4771">
      <w:pPr>
        <w:pStyle w:val="Style1"/>
        <w:numPr>
          <w:ilvl w:val="0"/>
          <w:numId w:val="13"/>
        </w:numPr>
        <w:spacing w:line="240" w:lineRule="auto"/>
      </w:pPr>
      <w:r w:rsidRPr="00405B5B">
        <w:t xml:space="preserve">We will ensure all our communal blocks </w:t>
      </w:r>
      <w:r w:rsidR="00405B5B">
        <w:t>(including supported schemes)</w:t>
      </w:r>
      <w:r w:rsidRPr="00405B5B">
        <w:t xml:space="preserve"> that we own or manage have an FRA in place where we have the legal obligation to do so.</w:t>
      </w:r>
    </w:p>
    <w:p w14:paraId="34F1BD26" w14:textId="77DB49AB" w:rsidR="00E56462" w:rsidRDefault="00405B5B" w:rsidP="00BD4771">
      <w:pPr>
        <w:pStyle w:val="Style1"/>
        <w:numPr>
          <w:ilvl w:val="0"/>
          <w:numId w:val="13"/>
        </w:numPr>
        <w:spacing w:line="240" w:lineRule="auto"/>
      </w:pPr>
      <w:r>
        <w:t xml:space="preserve">All FRAs will </w:t>
      </w:r>
      <w:r w:rsidR="00FD4825">
        <w:t>either be</w:t>
      </w:r>
      <w:r w:rsidR="00C8217B">
        <w:t xml:space="preserve"> </w:t>
      </w:r>
      <w:r>
        <w:t xml:space="preserve">a </w:t>
      </w:r>
      <w:r w:rsidR="00C8217B">
        <w:t xml:space="preserve">Type 1 </w:t>
      </w:r>
      <w:r>
        <w:t xml:space="preserve">survey (common parts only and non-destructive) </w:t>
      </w:r>
      <w:r w:rsidR="00C8217B">
        <w:t xml:space="preserve">or </w:t>
      </w:r>
      <w:r>
        <w:t xml:space="preserve">a </w:t>
      </w:r>
      <w:r w:rsidR="00C8217B">
        <w:t xml:space="preserve">Type 3 </w:t>
      </w:r>
      <w:r w:rsidR="008F40F8">
        <w:t xml:space="preserve">survey (common parts, </w:t>
      </w:r>
      <w:r>
        <w:t>at least a sample of flats</w:t>
      </w:r>
      <w:r w:rsidR="008F40F8">
        <w:t xml:space="preserve"> and non-destructive</w:t>
      </w:r>
      <w:r>
        <w:t>).</w:t>
      </w:r>
      <w:r w:rsidR="00E56462">
        <w:t xml:space="preserve"> The assessment type will be assigned to the b</w:t>
      </w:r>
      <w:r w:rsidR="008F40F8">
        <w:t xml:space="preserve">lock based on </w:t>
      </w:r>
      <w:r w:rsidR="00E56462">
        <w:t>risk and will be stated within the Fire Management Plan for each block (and reviewed annually).</w:t>
      </w:r>
    </w:p>
    <w:p w14:paraId="6A4F1547" w14:textId="64A224F5" w:rsidR="00C8217B" w:rsidRPr="00E56462" w:rsidRDefault="00C8217B" w:rsidP="00BD4771">
      <w:pPr>
        <w:pStyle w:val="Style1"/>
        <w:numPr>
          <w:ilvl w:val="0"/>
          <w:numId w:val="13"/>
        </w:numPr>
        <w:spacing w:line="240" w:lineRule="auto"/>
      </w:pPr>
      <w:r>
        <w:t>F</w:t>
      </w:r>
      <w:r w:rsidR="00E56462">
        <w:t>RAs</w:t>
      </w:r>
      <w:r>
        <w:t xml:space="preserve"> will be undertaken on </w:t>
      </w:r>
      <w:r w:rsidR="00E56462">
        <w:t xml:space="preserve">communal </w:t>
      </w:r>
      <w:r>
        <w:t xml:space="preserve">blocks annually. </w:t>
      </w:r>
    </w:p>
    <w:p w14:paraId="55C1AF29" w14:textId="6BB44A12" w:rsidR="00166A4B" w:rsidRPr="00B12678" w:rsidRDefault="00B12678" w:rsidP="00BD4771">
      <w:pPr>
        <w:pStyle w:val="Style1"/>
        <w:numPr>
          <w:ilvl w:val="0"/>
          <w:numId w:val="13"/>
        </w:numPr>
        <w:spacing w:line="240" w:lineRule="auto"/>
      </w:pPr>
      <w:r>
        <w:t>A</w:t>
      </w:r>
      <w:r w:rsidR="00166A4B" w:rsidRPr="00B12678">
        <w:t xml:space="preserve"> pre-occupation FRA </w:t>
      </w:r>
      <w:r>
        <w:t xml:space="preserve">will be </w:t>
      </w:r>
      <w:r w:rsidR="00166A4B" w:rsidRPr="00B12678">
        <w:t xml:space="preserve">carried out on all new build schemes or new acquisitions </w:t>
      </w:r>
      <w:r>
        <w:t>before handover (with monthly inspections undertaken after the building is occupied).</w:t>
      </w:r>
    </w:p>
    <w:p w14:paraId="0D728283" w14:textId="7C244C32" w:rsidR="00F57680" w:rsidRPr="00F57680" w:rsidRDefault="00F57680" w:rsidP="00BD4771">
      <w:pPr>
        <w:pStyle w:val="Style1"/>
        <w:numPr>
          <w:ilvl w:val="0"/>
          <w:numId w:val="13"/>
        </w:numPr>
        <w:spacing w:line="240" w:lineRule="auto"/>
      </w:pPr>
      <w:r w:rsidRPr="00F57680">
        <w:lastRenderedPageBreak/>
        <w:t xml:space="preserve">We will ensure robust processes are in place to implement all mandatory fire precaution measures identified </w:t>
      </w:r>
      <w:r>
        <w:t xml:space="preserve">within each </w:t>
      </w:r>
      <w:r w:rsidR="000C6E0D">
        <w:t xml:space="preserve">FRA </w:t>
      </w:r>
      <w:r w:rsidRPr="00F57680">
        <w:t>in accordance with the following priorities and timescales:</w:t>
      </w:r>
    </w:p>
    <w:p w14:paraId="57FB201B" w14:textId="795DFE6D" w:rsidR="00F57680" w:rsidRPr="00F57680" w:rsidRDefault="00F57680" w:rsidP="00BD4771">
      <w:pPr>
        <w:pStyle w:val="BodyText"/>
        <w:numPr>
          <w:ilvl w:val="0"/>
          <w:numId w:val="14"/>
        </w:numPr>
        <w:ind w:left="1984" w:hanging="357"/>
        <w:rPr>
          <w:rFonts w:ascii="Calibri" w:hAnsi="Calibri" w:cs="Calibri"/>
          <w:color w:val="0072CE"/>
        </w:rPr>
      </w:pPr>
      <w:r w:rsidRPr="00F57680">
        <w:rPr>
          <w:rFonts w:ascii="Calibri" w:hAnsi="Calibri" w:cs="Calibri"/>
          <w:color w:val="0072CE"/>
        </w:rPr>
        <w:t xml:space="preserve">High risk – </w:t>
      </w:r>
      <w:r>
        <w:rPr>
          <w:rFonts w:ascii="Calibri" w:hAnsi="Calibri" w:cs="Calibri"/>
          <w:color w:val="0072CE"/>
        </w:rPr>
        <w:t>immediate</w:t>
      </w:r>
    </w:p>
    <w:p w14:paraId="580B9F1F" w14:textId="0011A13E" w:rsidR="00F57680" w:rsidRPr="00F57680" w:rsidRDefault="00F57680" w:rsidP="00BD4771">
      <w:pPr>
        <w:pStyle w:val="BodyText"/>
        <w:numPr>
          <w:ilvl w:val="0"/>
          <w:numId w:val="14"/>
        </w:numPr>
        <w:ind w:left="1984" w:hanging="357"/>
        <w:rPr>
          <w:rFonts w:ascii="Calibri" w:hAnsi="Calibri" w:cs="Calibri"/>
          <w:color w:val="0072CE"/>
        </w:rPr>
      </w:pPr>
      <w:r w:rsidRPr="00F57680">
        <w:rPr>
          <w:rFonts w:ascii="Calibri" w:hAnsi="Calibri" w:cs="Calibri"/>
          <w:color w:val="0072CE"/>
        </w:rPr>
        <w:t>Medium risk – within three months</w:t>
      </w:r>
    </w:p>
    <w:p w14:paraId="50E45701" w14:textId="3F63747B" w:rsidR="00F57680" w:rsidRPr="00F57680" w:rsidRDefault="00F57680" w:rsidP="00BD4771">
      <w:pPr>
        <w:pStyle w:val="BodyText"/>
        <w:numPr>
          <w:ilvl w:val="0"/>
          <w:numId w:val="14"/>
        </w:numPr>
        <w:spacing w:after="120"/>
        <w:ind w:left="1984" w:hanging="357"/>
        <w:rPr>
          <w:rFonts w:ascii="Calibri" w:hAnsi="Calibri" w:cs="Calibri"/>
          <w:color w:val="0072CE"/>
        </w:rPr>
      </w:pPr>
      <w:r w:rsidRPr="00F57680">
        <w:rPr>
          <w:rFonts w:ascii="Calibri" w:hAnsi="Calibri" w:cs="Calibri"/>
          <w:color w:val="0072CE"/>
        </w:rPr>
        <w:t xml:space="preserve">Low risk – within six months </w:t>
      </w:r>
    </w:p>
    <w:p w14:paraId="00CF494B" w14:textId="77777777" w:rsidR="00E56462" w:rsidRPr="00E56462" w:rsidRDefault="00C8217B" w:rsidP="00B12678">
      <w:pPr>
        <w:pStyle w:val="Style1"/>
        <w:spacing w:line="240" w:lineRule="auto"/>
        <w:rPr>
          <w:b/>
        </w:rPr>
      </w:pPr>
      <w:r w:rsidRPr="00E56462">
        <w:rPr>
          <w:b/>
        </w:rPr>
        <w:t xml:space="preserve">Compartmentation Surveys </w:t>
      </w:r>
    </w:p>
    <w:p w14:paraId="6154F550" w14:textId="0BBECCFA" w:rsidR="00E56462" w:rsidRDefault="00282841" w:rsidP="00BD4771">
      <w:pPr>
        <w:pStyle w:val="Style1"/>
        <w:numPr>
          <w:ilvl w:val="0"/>
          <w:numId w:val="13"/>
        </w:numPr>
        <w:spacing w:line="240" w:lineRule="auto"/>
      </w:pPr>
      <w:r>
        <w:t>We have</w:t>
      </w:r>
      <w:r w:rsidR="00C8217B" w:rsidRPr="00D40FEC">
        <w:t xml:space="preserve"> </w:t>
      </w:r>
      <w:r w:rsidR="00E56462">
        <w:t>undertake</w:t>
      </w:r>
      <w:r w:rsidR="0047588A">
        <w:t>n</w:t>
      </w:r>
      <w:r w:rsidR="00E56462">
        <w:t xml:space="preserve"> compartmentation surveys to</w:t>
      </w:r>
      <w:r w:rsidR="00C8217B" w:rsidRPr="00D40FEC">
        <w:t xml:space="preserve"> all </w:t>
      </w:r>
      <w:r w:rsidR="00E56462">
        <w:t xml:space="preserve">communal </w:t>
      </w:r>
      <w:r w:rsidR="00C8217B" w:rsidRPr="00D40FEC">
        <w:t>blocks over 5 years old</w:t>
      </w:r>
      <w:r w:rsidR="00E56462">
        <w:t xml:space="preserve">. </w:t>
      </w:r>
    </w:p>
    <w:p w14:paraId="16431FEA" w14:textId="0C511B94" w:rsidR="00E56462" w:rsidRDefault="00E56462" w:rsidP="00BD4771">
      <w:pPr>
        <w:pStyle w:val="Style1"/>
        <w:numPr>
          <w:ilvl w:val="0"/>
          <w:numId w:val="13"/>
        </w:numPr>
        <w:spacing w:line="240" w:lineRule="auto"/>
      </w:pPr>
      <w:r>
        <w:t>Surveys will be</w:t>
      </w:r>
      <w:r w:rsidR="00C8217B" w:rsidRPr="00D40FEC">
        <w:t xml:space="preserve"> repeated </w:t>
      </w:r>
      <w:r w:rsidR="0047588A">
        <w:t>when there are material changes to the structure or major works carried out that may compromise meeting the requirements of compartmentation for Building and Fire Safety in line with latest legislation and building regulations</w:t>
      </w:r>
      <w:proofErr w:type="gramStart"/>
      <w:r w:rsidR="0047588A">
        <w:t xml:space="preserve">. </w:t>
      </w:r>
      <w:r w:rsidR="00C8217B" w:rsidRPr="00D40FEC">
        <w:t>.</w:t>
      </w:r>
      <w:proofErr w:type="gramEnd"/>
    </w:p>
    <w:p w14:paraId="2E7C7FC0" w14:textId="6B5C8B49" w:rsidR="00C8217B" w:rsidRDefault="00C8217B" w:rsidP="00BD4771">
      <w:pPr>
        <w:pStyle w:val="Style1"/>
        <w:numPr>
          <w:ilvl w:val="0"/>
          <w:numId w:val="13"/>
        </w:numPr>
        <w:spacing w:line="240" w:lineRule="auto"/>
      </w:pPr>
      <w:r>
        <w:t xml:space="preserve"> </w:t>
      </w:r>
      <w:r w:rsidRPr="003D58F3">
        <w:t>All actions, r</w:t>
      </w:r>
      <w:r w:rsidR="000C6E0D">
        <w:t>ecommendations and observations</w:t>
      </w:r>
      <w:r w:rsidR="0047588A">
        <w:t xml:space="preserve"> resulting from a Compartmentation Survey</w:t>
      </w:r>
      <w:r w:rsidR="000C6E0D">
        <w:t xml:space="preserve"> to be </w:t>
      </w:r>
      <w:r w:rsidRPr="003D58F3">
        <w:t>completed within the recommended time</w:t>
      </w:r>
      <w:r>
        <w:t xml:space="preserve"> frame defined by the procedure.</w:t>
      </w:r>
    </w:p>
    <w:p w14:paraId="0EA34F46" w14:textId="0725D206" w:rsidR="0047588A" w:rsidRPr="00D40FEC" w:rsidRDefault="0047588A" w:rsidP="00BD4771">
      <w:pPr>
        <w:pStyle w:val="Style1"/>
        <w:numPr>
          <w:ilvl w:val="0"/>
          <w:numId w:val="13"/>
        </w:numPr>
        <w:spacing w:line="240" w:lineRule="auto"/>
      </w:pPr>
      <w:r>
        <w:t>Any new block of flats built or purchased will have a Compartmentation Survey before handover to meet all the requirements for Building and Fire Safety in line with latest legislation and building regulations.</w:t>
      </w:r>
    </w:p>
    <w:p w14:paraId="4C352941" w14:textId="1F22F3DB" w:rsidR="00C8217B" w:rsidRDefault="00E56462" w:rsidP="00B12678">
      <w:pPr>
        <w:pStyle w:val="Style1"/>
        <w:spacing w:line="240" w:lineRule="auto"/>
        <w:rPr>
          <w:b/>
        </w:rPr>
      </w:pPr>
      <w:r>
        <w:rPr>
          <w:b/>
        </w:rPr>
        <w:t>Fire Door I</w:t>
      </w:r>
      <w:r w:rsidRPr="00E56462">
        <w:rPr>
          <w:b/>
        </w:rPr>
        <w:t>nspections</w:t>
      </w:r>
    </w:p>
    <w:p w14:paraId="700B2D76" w14:textId="1E9BA814" w:rsidR="00E56462" w:rsidRDefault="00E56462" w:rsidP="00BD4771">
      <w:pPr>
        <w:pStyle w:val="Style1"/>
        <w:numPr>
          <w:ilvl w:val="0"/>
          <w:numId w:val="13"/>
        </w:numPr>
        <w:spacing w:line="240" w:lineRule="auto"/>
      </w:pPr>
      <w:r>
        <w:t xml:space="preserve">We will undertake a fire door inspection </w:t>
      </w:r>
      <w:r w:rsidR="00116653">
        <w:t xml:space="preserve">at least once </w:t>
      </w:r>
      <w:r>
        <w:t xml:space="preserve">every </w:t>
      </w:r>
      <w:r w:rsidR="0047588A">
        <w:t>12</w:t>
      </w:r>
      <w:r>
        <w:t xml:space="preserve"> months to a</w:t>
      </w:r>
      <w:r w:rsidRPr="00B739FA">
        <w:t>ll</w:t>
      </w:r>
      <w:r>
        <w:t xml:space="preserve"> flat entrance doors within </w:t>
      </w:r>
      <w:r w:rsidRPr="00B739FA">
        <w:t>communal</w:t>
      </w:r>
      <w:r>
        <w:t xml:space="preserve"> blocks (that are </w:t>
      </w:r>
      <w:r w:rsidRPr="00B739FA">
        <w:t xml:space="preserve">off </w:t>
      </w:r>
      <w:r>
        <w:t xml:space="preserve">the </w:t>
      </w:r>
      <w:r w:rsidRPr="00B739FA">
        <w:t>communal area</w:t>
      </w:r>
      <w:r>
        <w:t>)</w:t>
      </w:r>
    </w:p>
    <w:p w14:paraId="2B255045" w14:textId="1376C020" w:rsidR="00116653" w:rsidRDefault="00116653" w:rsidP="00BD4771">
      <w:pPr>
        <w:pStyle w:val="Style1"/>
        <w:numPr>
          <w:ilvl w:val="0"/>
          <w:numId w:val="13"/>
        </w:numPr>
        <w:spacing w:line="240" w:lineRule="auto"/>
      </w:pPr>
      <w:r>
        <w:t>We will undertake a fire door inspection every 6 months for any doors in an internal communal area that are not flat entrance doors</w:t>
      </w:r>
    </w:p>
    <w:p w14:paraId="2921FE81" w14:textId="5787EEE6" w:rsidR="00E56462" w:rsidRPr="00D40FEC" w:rsidRDefault="000C6E0D" w:rsidP="00BD4771">
      <w:pPr>
        <w:pStyle w:val="Style1"/>
        <w:numPr>
          <w:ilvl w:val="0"/>
          <w:numId w:val="13"/>
        </w:numPr>
        <w:spacing w:line="240" w:lineRule="auto"/>
      </w:pPr>
      <w:r>
        <w:t>Remedial works will be c</w:t>
      </w:r>
      <w:r w:rsidR="00E56462" w:rsidRPr="003D58F3">
        <w:t>ompleted within the recommended time</w:t>
      </w:r>
      <w:r w:rsidR="00E56462">
        <w:t xml:space="preserve"> frame defined by the procedure.</w:t>
      </w:r>
    </w:p>
    <w:p w14:paraId="5BA38367" w14:textId="77777777" w:rsidR="00E56462" w:rsidRPr="00E56462" w:rsidRDefault="00E56462" w:rsidP="00B12678">
      <w:pPr>
        <w:pStyle w:val="Style1"/>
        <w:spacing w:line="240" w:lineRule="auto"/>
        <w:rPr>
          <w:b/>
        </w:rPr>
      </w:pPr>
      <w:r w:rsidRPr="00E56462">
        <w:rPr>
          <w:b/>
        </w:rPr>
        <w:t>Fire Safety Testing</w:t>
      </w:r>
    </w:p>
    <w:p w14:paraId="6597AD9E" w14:textId="6B59821B" w:rsidR="00C8217B" w:rsidRDefault="00C8217B" w:rsidP="00BD4771">
      <w:pPr>
        <w:pStyle w:val="Style1"/>
        <w:numPr>
          <w:ilvl w:val="0"/>
          <w:numId w:val="13"/>
        </w:numPr>
        <w:spacing w:line="240" w:lineRule="auto"/>
      </w:pPr>
      <w:r w:rsidRPr="00DD176D">
        <w:t xml:space="preserve">Fire </w:t>
      </w:r>
      <w:r w:rsidR="00E56462">
        <w:t>safety t</w:t>
      </w:r>
      <w:r w:rsidRPr="00DD176D">
        <w:t>esting will be carried out on all active fire protection in line with FRA recommendations</w:t>
      </w:r>
      <w:r>
        <w:t>, manufacturer instructions and British Standard</w:t>
      </w:r>
      <w:r w:rsidRPr="00DD176D">
        <w:t>s</w:t>
      </w:r>
      <w:r w:rsidR="00F57680">
        <w:t>. A</w:t>
      </w:r>
      <w:r w:rsidRPr="00DD176D">
        <w:t>s a minimum</w:t>
      </w:r>
      <w:r w:rsidR="00F57680">
        <w:t xml:space="preserve"> we will undertake the following </w:t>
      </w:r>
      <w:r w:rsidR="00282841">
        <w:t>regimes</w:t>
      </w:r>
      <w:r w:rsidR="00282841" w:rsidRPr="00DD176D">
        <w:t>.</w:t>
      </w:r>
    </w:p>
    <w:p w14:paraId="06EC8029" w14:textId="21363B05" w:rsidR="00C8217B" w:rsidRDefault="00F57680" w:rsidP="00BD4771">
      <w:pPr>
        <w:pStyle w:val="BodyText"/>
        <w:numPr>
          <w:ilvl w:val="0"/>
          <w:numId w:val="14"/>
        </w:numPr>
        <w:ind w:left="1985"/>
        <w:rPr>
          <w:rFonts w:ascii="Calibri" w:hAnsi="Calibri" w:cs="Calibri"/>
          <w:color w:val="0072CE"/>
        </w:rPr>
      </w:pPr>
      <w:r>
        <w:rPr>
          <w:rFonts w:ascii="Calibri" w:hAnsi="Calibri" w:cs="Calibri"/>
          <w:color w:val="0072CE"/>
        </w:rPr>
        <w:t>Emergency l</w:t>
      </w:r>
      <w:r w:rsidR="00C8217B">
        <w:rPr>
          <w:rFonts w:ascii="Calibri" w:hAnsi="Calibri" w:cs="Calibri"/>
          <w:color w:val="0072CE"/>
        </w:rPr>
        <w:t xml:space="preserve">ighting </w:t>
      </w:r>
      <w:r>
        <w:rPr>
          <w:rFonts w:ascii="Calibri" w:hAnsi="Calibri" w:cs="Calibri"/>
          <w:color w:val="0072CE"/>
        </w:rPr>
        <w:t>- q</w:t>
      </w:r>
      <w:r w:rsidR="00C8217B">
        <w:rPr>
          <w:rFonts w:ascii="Calibri" w:hAnsi="Calibri" w:cs="Calibri"/>
          <w:color w:val="0072CE"/>
        </w:rPr>
        <w:t>uarterly</w:t>
      </w:r>
    </w:p>
    <w:p w14:paraId="39FD5EBD" w14:textId="42848E69" w:rsidR="00C8217B" w:rsidRDefault="00C8217B" w:rsidP="00BD4771">
      <w:pPr>
        <w:pStyle w:val="BodyText"/>
        <w:numPr>
          <w:ilvl w:val="0"/>
          <w:numId w:val="14"/>
        </w:numPr>
        <w:ind w:left="1985"/>
        <w:rPr>
          <w:rFonts w:ascii="Calibri" w:hAnsi="Calibri" w:cs="Calibri"/>
          <w:color w:val="0072CE"/>
        </w:rPr>
      </w:pPr>
      <w:r>
        <w:rPr>
          <w:rFonts w:ascii="Calibri" w:hAnsi="Calibri" w:cs="Calibri"/>
          <w:color w:val="0072CE"/>
        </w:rPr>
        <w:t xml:space="preserve">Fire </w:t>
      </w:r>
      <w:r w:rsidR="00F57680">
        <w:rPr>
          <w:rFonts w:ascii="Calibri" w:hAnsi="Calibri" w:cs="Calibri"/>
          <w:color w:val="0072CE"/>
        </w:rPr>
        <w:t>a</w:t>
      </w:r>
      <w:r>
        <w:rPr>
          <w:rFonts w:ascii="Calibri" w:hAnsi="Calibri" w:cs="Calibri"/>
          <w:color w:val="0072CE"/>
        </w:rPr>
        <w:t xml:space="preserve">larms (including control panels) </w:t>
      </w:r>
      <w:r w:rsidR="00F57680">
        <w:rPr>
          <w:rFonts w:ascii="Calibri" w:hAnsi="Calibri" w:cs="Calibri"/>
          <w:color w:val="0072CE"/>
        </w:rPr>
        <w:t>- q</w:t>
      </w:r>
      <w:r>
        <w:rPr>
          <w:rFonts w:ascii="Calibri" w:hAnsi="Calibri" w:cs="Calibri"/>
          <w:color w:val="0072CE"/>
        </w:rPr>
        <w:t>uarterly</w:t>
      </w:r>
    </w:p>
    <w:p w14:paraId="48285B31" w14:textId="5CAE9C68" w:rsidR="00C8217B" w:rsidRDefault="00C8217B" w:rsidP="00BD4771">
      <w:pPr>
        <w:pStyle w:val="BodyText"/>
        <w:numPr>
          <w:ilvl w:val="0"/>
          <w:numId w:val="14"/>
        </w:numPr>
        <w:ind w:left="1985"/>
        <w:rPr>
          <w:rFonts w:ascii="Calibri" w:hAnsi="Calibri" w:cs="Calibri"/>
          <w:color w:val="0072CE"/>
        </w:rPr>
      </w:pPr>
      <w:r>
        <w:rPr>
          <w:rFonts w:ascii="Calibri" w:hAnsi="Calibri" w:cs="Calibri"/>
          <w:color w:val="0072CE"/>
        </w:rPr>
        <w:t>Smoke control vents/ducts systems</w:t>
      </w:r>
      <w:r w:rsidR="00F57680">
        <w:rPr>
          <w:rFonts w:ascii="Calibri" w:hAnsi="Calibri" w:cs="Calibri"/>
          <w:color w:val="0072CE"/>
        </w:rPr>
        <w:t xml:space="preserve"> -</w:t>
      </w:r>
      <w:r>
        <w:rPr>
          <w:rFonts w:ascii="Calibri" w:hAnsi="Calibri" w:cs="Calibri"/>
          <w:color w:val="0072CE"/>
        </w:rPr>
        <w:t xml:space="preserve"> </w:t>
      </w:r>
      <w:r w:rsidR="00F57680">
        <w:rPr>
          <w:rFonts w:ascii="Calibri" w:hAnsi="Calibri" w:cs="Calibri"/>
          <w:color w:val="0072CE"/>
        </w:rPr>
        <w:t>q</w:t>
      </w:r>
      <w:r>
        <w:rPr>
          <w:rFonts w:ascii="Calibri" w:hAnsi="Calibri" w:cs="Calibri"/>
          <w:color w:val="0072CE"/>
        </w:rPr>
        <w:t>uarterly</w:t>
      </w:r>
    </w:p>
    <w:p w14:paraId="4F3F3B2B" w14:textId="32FDE171" w:rsidR="00C8217B" w:rsidRDefault="00C8217B" w:rsidP="00BD4771">
      <w:pPr>
        <w:pStyle w:val="BodyText"/>
        <w:numPr>
          <w:ilvl w:val="0"/>
          <w:numId w:val="14"/>
        </w:numPr>
        <w:ind w:left="1985"/>
        <w:rPr>
          <w:rFonts w:ascii="Calibri" w:hAnsi="Calibri" w:cs="Calibri"/>
          <w:color w:val="0072CE"/>
        </w:rPr>
      </w:pPr>
      <w:r>
        <w:rPr>
          <w:rFonts w:ascii="Calibri" w:hAnsi="Calibri" w:cs="Calibri"/>
          <w:color w:val="0072CE"/>
        </w:rPr>
        <w:t>Smoke detectors</w:t>
      </w:r>
      <w:r w:rsidR="00F57680">
        <w:rPr>
          <w:rFonts w:ascii="Calibri" w:hAnsi="Calibri" w:cs="Calibri"/>
          <w:color w:val="0072CE"/>
        </w:rPr>
        <w:t xml:space="preserve"> -</w:t>
      </w:r>
      <w:r>
        <w:rPr>
          <w:rFonts w:ascii="Calibri" w:hAnsi="Calibri" w:cs="Calibri"/>
          <w:color w:val="0072CE"/>
        </w:rPr>
        <w:t xml:space="preserve"> </w:t>
      </w:r>
      <w:r w:rsidR="00F57680">
        <w:rPr>
          <w:rFonts w:ascii="Calibri" w:hAnsi="Calibri" w:cs="Calibri"/>
          <w:color w:val="0072CE"/>
        </w:rPr>
        <w:t>q</w:t>
      </w:r>
      <w:r>
        <w:rPr>
          <w:rFonts w:ascii="Calibri" w:hAnsi="Calibri" w:cs="Calibri"/>
          <w:color w:val="0072CE"/>
        </w:rPr>
        <w:t>uarterly</w:t>
      </w:r>
    </w:p>
    <w:p w14:paraId="47CDCEB1" w14:textId="318AC2C4" w:rsidR="00C8217B" w:rsidRDefault="00F57680" w:rsidP="00BD4771">
      <w:pPr>
        <w:pStyle w:val="BodyText"/>
        <w:numPr>
          <w:ilvl w:val="0"/>
          <w:numId w:val="14"/>
        </w:numPr>
        <w:ind w:left="1985"/>
        <w:rPr>
          <w:rFonts w:ascii="Calibri" w:hAnsi="Calibri" w:cs="Calibri"/>
          <w:color w:val="0072CE"/>
        </w:rPr>
      </w:pPr>
      <w:r>
        <w:rPr>
          <w:rFonts w:ascii="Calibri" w:hAnsi="Calibri" w:cs="Calibri"/>
          <w:color w:val="0072CE"/>
        </w:rPr>
        <w:t>Fire e</w:t>
      </w:r>
      <w:r w:rsidR="00C8217B">
        <w:rPr>
          <w:rFonts w:ascii="Calibri" w:hAnsi="Calibri" w:cs="Calibri"/>
          <w:color w:val="0072CE"/>
        </w:rPr>
        <w:t xml:space="preserve">xtinguishers </w:t>
      </w:r>
      <w:r>
        <w:rPr>
          <w:rFonts w:ascii="Calibri" w:hAnsi="Calibri" w:cs="Calibri"/>
          <w:color w:val="0072CE"/>
        </w:rPr>
        <w:t>- s</w:t>
      </w:r>
      <w:r w:rsidR="00C8217B">
        <w:rPr>
          <w:rFonts w:ascii="Calibri" w:hAnsi="Calibri" w:cs="Calibri"/>
          <w:color w:val="0072CE"/>
        </w:rPr>
        <w:t xml:space="preserve">ix </w:t>
      </w:r>
      <w:r>
        <w:rPr>
          <w:rFonts w:ascii="Calibri" w:hAnsi="Calibri" w:cs="Calibri"/>
          <w:color w:val="0072CE"/>
        </w:rPr>
        <w:t>m</w:t>
      </w:r>
      <w:r w:rsidR="00C8217B">
        <w:rPr>
          <w:rFonts w:ascii="Calibri" w:hAnsi="Calibri" w:cs="Calibri"/>
          <w:color w:val="0072CE"/>
        </w:rPr>
        <w:t>onthly</w:t>
      </w:r>
    </w:p>
    <w:p w14:paraId="3D7F2F9F" w14:textId="19CB8ED4" w:rsidR="00C8217B" w:rsidRDefault="00C8217B" w:rsidP="00BD4771">
      <w:pPr>
        <w:pStyle w:val="BodyText"/>
        <w:numPr>
          <w:ilvl w:val="0"/>
          <w:numId w:val="14"/>
        </w:numPr>
        <w:spacing w:after="120"/>
        <w:ind w:left="1984" w:hanging="357"/>
        <w:rPr>
          <w:rFonts w:ascii="Calibri" w:hAnsi="Calibri" w:cs="Calibri"/>
          <w:color w:val="0072CE"/>
        </w:rPr>
      </w:pPr>
      <w:r>
        <w:rPr>
          <w:rFonts w:ascii="Calibri" w:hAnsi="Calibri" w:cs="Calibri"/>
          <w:color w:val="0072CE"/>
        </w:rPr>
        <w:t>P</w:t>
      </w:r>
      <w:r w:rsidR="00F57680">
        <w:rPr>
          <w:rFonts w:ascii="Calibri" w:hAnsi="Calibri" w:cs="Calibri"/>
          <w:color w:val="0072CE"/>
        </w:rPr>
        <w:t>ortable appliance testing (P</w:t>
      </w:r>
      <w:r>
        <w:rPr>
          <w:rFonts w:ascii="Calibri" w:hAnsi="Calibri" w:cs="Calibri"/>
          <w:color w:val="0072CE"/>
        </w:rPr>
        <w:t>AT</w:t>
      </w:r>
      <w:r w:rsidR="00F57680">
        <w:rPr>
          <w:rFonts w:ascii="Calibri" w:hAnsi="Calibri" w:cs="Calibri"/>
          <w:color w:val="0072CE"/>
        </w:rPr>
        <w:t>)</w:t>
      </w:r>
      <w:r>
        <w:rPr>
          <w:rFonts w:ascii="Calibri" w:hAnsi="Calibri" w:cs="Calibri"/>
          <w:color w:val="0072CE"/>
        </w:rPr>
        <w:t xml:space="preserve"> </w:t>
      </w:r>
      <w:r w:rsidR="00F57680">
        <w:rPr>
          <w:rFonts w:ascii="Calibri" w:hAnsi="Calibri" w:cs="Calibri"/>
          <w:color w:val="0072CE"/>
        </w:rPr>
        <w:t>- a</w:t>
      </w:r>
      <w:r>
        <w:rPr>
          <w:rFonts w:ascii="Calibri" w:hAnsi="Calibri" w:cs="Calibri"/>
          <w:color w:val="0072CE"/>
        </w:rPr>
        <w:t>nnually</w:t>
      </w:r>
    </w:p>
    <w:p w14:paraId="289CA6A7" w14:textId="367FE4FE" w:rsidR="00C8217B" w:rsidRDefault="00C8217B" w:rsidP="00BD4771">
      <w:pPr>
        <w:pStyle w:val="Style1"/>
        <w:numPr>
          <w:ilvl w:val="0"/>
          <w:numId w:val="13"/>
        </w:numPr>
        <w:spacing w:line="240" w:lineRule="auto"/>
      </w:pPr>
      <w:r>
        <w:t xml:space="preserve">All testing will be monitored, managed and </w:t>
      </w:r>
      <w:r w:rsidR="003208B2">
        <w:t>a</w:t>
      </w:r>
      <w:r>
        <w:t xml:space="preserve">ll testing </w:t>
      </w:r>
      <w:r w:rsidR="00282841">
        <w:t>certifications</w:t>
      </w:r>
      <w:r>
        <w:t xml:space="preserve"> will be reviewed and </w:t>
      </w:r>
      <w:proofErr w:type="gramStart"/>
      <w:r>
        <w:t>checked</w:t>
      </w:r>
      <w:proofErr w:type="gramEnd"/>
      <w:r>
        <w:t xml:space="preserve"> and any remedial works approved by the Compliance Officer (or a manager in the Asset Operations Team in their absence).</w:t>
      </w:r>
    </w:p>
    <w:p w14:paraId="0DC1B700" w14:textId="723A24C6" w:rsidR="00F57680" w:rsidRPr="00F57680" w:rsidRDefault="00F57680" w:rsidP="00B12678">
      <w:pPr>
        <w:pStyle w:val="Style1"/>
        <w:spacing w:line="240" w:lineRule="auto"/>
        <w:rPr>
          <w:b/>
        </w:rPr>
      </w:pPr>
      <w:r>
        <w:rPr>
          <w:b/>
        </w:rPr>
        <w:t>Regular I</w:t>
      </w:r>
      <w:r w:rsidR="00166A4B" w:rsidRPr="00F57680">
        <w:rPr>
          <w:b/>
        </w:rPr>
        <w:t>nspections</w:t>
      </w:r>
      <w:r>
        <w:rPr>
          <w:b/>
        </w:rPr>
        <w:t xml:space="preserve"> </w:t>
      </w:r>
    </w:p>
    <w:p w14:paraId="61B25DFC" w14:textId="3C79B52C" w:rsidR="00C8217B" w:rsidRDefault="00C8217B" w:rsidP="00BD4771">
      <w:pPr>
        <w:pStyle w:val="Style1"/>
        <w:numPr>
          <w:ilvl w:val="0"/>
          <w:numId w:val="13"/>
        </w:numPr>
        <w:spacing w:line="240" w:lineRule="auto"/>
      </w:pPr>
      <w:r w:rsidRPr="00DD176D">
        <w:t xml:space="preserve">Monthly communal inspections will be carried out by suitably competent and trained staff and proactive action will be taken to ensure all </w:t>
      </w:r>
      <w:r w:rsidR="00F57680">
        <w:t xml:space="preserve">common </w:t>
      </w:r>
      <w:r w:rsidRPr="00DD176D">
        <w:t xml:space="preserve">areas </w:t>
      </w:r>
      <w:r w:rsidRPr="00DD176D">
        <w:lastRenderedPageBreak/>
        <w:t>are kept free of hazards</w:t>
      </w:r>
      <w:r w:rsidR="00F57680">
        <w:t xml:space="preserve"> (for example</w:t>
      </w:r>
      <w:r w:rsidRPr="00DD176D">
        <w:t xml:space="preserve">, no blocked access or exit routes </w:t>
      </w:r>
      <w:r w:rsidR="00F57680">
        <w:t xml:space="preserve">and </w:t>
      </w:r>
      <w:r w:rsidRPr="00DD176D">
        <w:t>no combustible materials</w:t>
      </w:r>
      <w:r w:rsidR="00F57680">
        <w:t>)</w:t>
      </w:r>
      <w:r>
        <w:t>.</w:t>
      </w:r>
      <w:r w:rsidR="00B12678">
        <w:t xml:space="preserve"> </w:t>
      </w:r>
      <w:r w:rsidR="00164767">
        <w:t xml:space="preserve"> </w:t>
      </w:r>
    </w:p>
    <w:p w14:paraId="77CDE4A3" w14:textId="642FCFD3" w:rsidR="00051181" w:rsidRPr="004E480B" w:rsidRDefault="00C45553" w:rsidP="00B12678">
      <w:pPr>
        <w:pStyle w:val="Heading1"/>
      </w:pPr>
      <w:bookmarkStart w:id="6" w:name="_Toc79762746"/>
      <w:r w:rsidRPr="004E480B">
        <w:t>Competency and Training</w:t>
      </w:r>
      <w:bookmarkEnd w:id="6"/>
      <w:r w:rsidRPr="004E480B">
        <w:t xml:space="preserve"> </w:t>
      </w:r>
    </w:p>
    <w:p w14:paraId="6874C940" w14:textId="55C3A7C9" w:rsidR="000C7CAA" w:rsidRPr="003D58F3" w:rsidRDefault="00B12678" w:rsidP="00B12678">
      <w:pPr>
        <w:pStyle w:val="Style1"/>
        <w:spacing w:line="240" w:lineRule="auto"/>
      </w:pPr>
      <w:r>
        <w:t xml:space="preserve">Arches </w:t>
      </w:r>
      <w:r w:rsidR="000C7CAA" w:rsidRPr="003D58F3">
        <w:t>will ensure that adequate information, instruction and training to follow the requirements of this policy is given to relevant staff in the Operations Team.</w:t>
      </w:r>
    </w:p>
    <w:p w14:paraId="12FEBFDC" w14:textId="78BB92BA" w:rsidR="007C1B7D" w:rsidRPr="003D58F3" w:rsidRDefault="007C1B7D" w:rsidP="00B12678">
      <w:pPr>
        <w:pStyle w:val="Style1"/>
        <w:spacing w:line="240" w:lineRule="auto"/>
      </w:pPr>
      <w:r w:rsidRPr="003D58F3">
        <w:t xml:space="preserve">The Compliance Officer and/or Head of Asset Management will be qualified to </w:t>
      </w:r>
      <w:r w:rsidR="00F67157" w:rsidRPr="003D58F3">
        <w:t>IFSM-accredited Fire Risk Assessment for general needs, sheltered and extra care accommodation</w:t>
      </w:r>
      <w:r w:rsidR="002B125D" w:rsidRPr="003D58F3">
        <w:t xml:space="preserve">; </w:t>
      </w:r>
      <w:r w:rsidRPr="003D58F3">
        <w:t>where this is not held by the current post holder (during periods of staff turnover or whilst training being undertaken) a consultant will be engaged who is competent and qualified to offer independent advice to this level for staff at Arches to be able to access.</w:t>
      </w:r>
    </w:p>
    <w:p w14:paraId="60E3053E" w14:textId="4739DE5F" w:rsidR="002B125D" w:rsidRPr="003D58F3" w:rsidRDefault="003D58F3" w:rsidP="00B12678">
      <w:pPr>
        <w:pStyle w:val="Style1"/>
        <w:spacing w:line="240" w:lineRule="auto"/>
      </w:pPr>
      <w:r>
        <w:t>A</w:t>
      </w:r>
      <w:r w:rsidR="002B125D" w:rsidRPr="003D58F3">
        <w:t>rches has in place a third party who provides advice on Fire Safety and Risk Management in respect of workplace safety so do not require a member of the team to hold any NEBOSH fire safety and risk management qualifications.</w:t>
      </w:r>
    </w:p>
    <w:p w14:paraId="5A69CA70" w14:textId="59781955" w:rsidR="006C54EB" w:rsidRPr="003D58F3" w:rsidRDefault="006C54EB" w:rsidP="00B12678">
      <w:pPr>
        <w:pStyle w:val="Style1"/>
        <w:spacing w:line="240" w:lineRule="auto"/>
      </w:pPr>
      <w:r w:rsidRPr="003D58F3">
        <w:t>Should stock profiles change and blocks</w:t>
      </w:r>
      <w:r w:rsidR="00B12678">
        <w:t xml:space="preserve"> of</w:t>
      </w:r>
      <w:r w:rsidRPr="003D58F3">
        <w:t xml:space="preserve"> </w:t>
      </w:r>
      <w:r w:rsidR="00B12678">
        <w:t>at least 7</w:t>
      </w:r>
      <w:r w:rsidRPr="003D58F3">
        <w:t xml:space="preserve"> storeys or 18m high </w:t>
      </w:r>
      <w:r w:rsidR="00282841" w:rsidRPr="003D58F3">
        <w:t>be</w:t>
      </w:r>
      <w:r w:rsidR="002B125D" w:rsidRPr="003D58F3">
        <w:t xml:space="preserve"> </w:t>
      </w:r>
      <w:r w:rsidRPr="003D58F3">
        <w:t>buil</w:t>
      </w:r>
      <w:r w:rsidR="002B125D" w:rsidRPr="003D58F3">
        <w:t>t</w:t>
      </w:r>
      <w:r w:rsidR="00FD4825">
        <w:t>,</w:t>
      </w:r>
      <w:r w:rsidR="009047EE">
        <w:t xml:space="preserve"> </w:t>
      </w:r>
      <w:r w:rsidR="00B12678" w:rsidRPr="003D58F3">
        <w:t>acquired</w:t>
      </w:r>
      <w:r w:rsidRPr="003D58F3">
        <w:t xml:space="preserve"> or </w:t>
      </w:r>
      <w:r w:rsidR="00FD4825">
        <w:t xml:space="preserve">there are </w:t>
      </w:r>
      <w:r w:rsidRPr="003D58F3">
        <w:t>legislative changes that reduce or change the definition of complex buildings</w:t>
      </w:r>
      <w:r w:rsidR="00FD4825">
        <w:t>,</w:t>
      </w:r>
      <w:r w:rsidRPr="003D58F3">
        <w:t xml:space="preserve"> this policy and specifically training needs for these staff and/or external consultant competency would be reviewed.</w:t>
      </w:r>
    </w:p>
    <w:p w14:paraId="1842D9EC" w14:textId="548BBA4A" w:rsidR="001A48F3" w:rsidRPr="003D58F3" w:rsidRDefault="001A48F3" w:rsidP="00B12678">
      <w:pPr>
        <w:pStyle w:val="Style1"/>
        <w:spacing w:line="240" w:lineRule="auto"/>
      </w:pPr>
      <w:r w:rsidRPr="003D58F3">
        <w:t xml:space="preserve">In house surveyors who are qualified through the Fire Door Inspection Scheme (FDIS) will carry out </w:t>
      </w:r>
      <w:r w:rsidR="0047588A">
        <w:t>12</w:t>
      </w:r>
      <w:r w:rsidRPr="003D58F3">
        <w:t xml:space="preserve"> monthly fire door inspections; where this is not held by current post holders (during periods of staff turnover or whilst training being undertaken) a consultant will be engaged who is competent and qualified to undertake these surveys for staff at Arches to be able to access.</w:t>
      </w:r>
    </w:p>
    <w:p w14:paraId="1D42F4DA" w14:textId="2844A4D9" w:rsidR="00195A83" w:rsidRPr="003D58F3" w:rsidRDefault="00195A83" w:rsidP="00B12678">
      <w:pPr>
        <w:pStyle w:val="Style1"/>
        <w:spacing w:line="240" w:lineRule="auto"/>
      </w:pPr>
      <w:r w:rsidRPr="003D58F3">
        <w:t xml:space="preserve">All Operational Team members will undertake Fire Compliance Awareness in general needs and sheltered </w:t>
      </w:r>
      <w:r w:rsidR="00B12678" w:rsidRPr="003D58F3">
        <w:t>accommodation</w:t>
      </w:r>
      <w:r w:rsidRPr="003D58F3">
        <w:t xml:space="preserve"> or similar accredited </w:t>
      </w:r>
      <w:r w:rsidR="00FD4825">
        <w:t>Level 1 training</w:t>
      </w:r>
      <w:r w:rsidRPr="003D58F3">
        <w:t>.</w:t>
      </w:r>
    </w:p>
    <w:p w14:paraId="7C141C40" w14:textId="0DAD9B75" w:rsidR="00195A83" w:rsidRPr="003D58F3" w:rsidRDefault="000C7CAA" w:rsidP="00B12678">
      <w:pPr>
        <w:pStyle w:val="Style1"/>
        <w:spacing w:line="240" w:lineRule="auto"/>
      </w:pPr>
      <w:r w:rsidRPr="003D58F3">
        <w:t>All staff will be trained on</w:t>
      </w:r>
      <w:r w:rsidR="006528BE">
        <w:t xml:space="preserve"> the contents of this policy annually</w:t>
      </w:r>
      <w:r w:rsidR="006528BE">
        <w:rPr>
          <w:rStyle w:val="CommentReference"/>
          <w:rFonts w:ascii="Arial" w:hAnsi="Arial" w:cs="Times New Roman"/>
          <w:color w:val="auto"/>
        </w:rPr>
        <w:t>.</w:t>
      </w:r>
    </w:p>
    <w:p w14:paraId="07B3F16A" w14:textId="5152F9B0" w:rsidR="00195A83" w:rsidRPr="003D58F3" w:rsidRDefault="00B12678" w:rsidP="00B12678">
      <w:pPr>
        <w:pStyle w:val="Style1"/>
        <w:spacing w:line="240" w:lineRule="auto"/>
      </w:pPr>
      <w:r>
        <w:t>For Arches’</w:t>
      </w:r>
      <w:r w:rsidR="00195A83" w:rsidRPr="003D58F3">
        <w:t xml:space="preserve"> office premises </w:t>
      </w:r>
      <w:r w:rsidR="00282841" w:rsidRPr="003D58F3">
        <w:t>enough</w:t>
      </w:r>
      <w:r w:rsidR="00195A83" w:rsidRPr="003D58F3">
        <w:t xml:space="preserve"> fire marshals will be appointed and will be trained and given the necessary authority to carry out their tasks.</w:t>
      </w:r>
    </w:p>
    <w:p w14:paraId="2978D3AF" w14:textId="36813533" w:rsidR="00626D49" w:rsidRPr="003D58F3" w:rsidRDefault="00626D49" w:rsidP="00B12678">
      <w:pPr>
        <w:pStyle w:val="Style1"/>
        <w:spacing w:line="240" w:lineRule="auto"/>
      </w:pPr>
      <w:r w:rsidRPr="003D58F3">
        <w:t xml:space="preserve">Third party certificated contractors will carry out FRAs on behalf of </w:t>
      </w:r>
      <w:r w:rsidR="003D58F3">
        <w:t>A</w:t>
      </w:r>
      <w:r w:rsidRPr="003D58F3">
        <w:t>rches.</w:t>
      </w:r>
    </w:p>
    <w:p w14:paraId="1CA44790" w14:textId="2CDDE559" w:rsidR="00195A83" w:rsidRPr="003D58F3" w:rsidRDefault="0010728B" w:rsidP="00B12678">
      <w:pPr>
        <w:pStyle w:val="Style1"/>
        <w:spacing w:line="240" w:lineRule="auto"/>
      </w:pPr>
      <w:r w:rsidRPr="003D58F3">
        <w:t>Selection of the contractor to carry out</w:t>
      </w:r>
      <w:r w:rsidR="00626D49" w:rsidRPr="003D58F3">
        <w:t xml:space="preserve"> FRAs will </w:t>
      </w:r>
      <w:r w:rsidR="000059CB" w:rsidRPr="003D58F3">
        <w:t xml:space="preserve">meet the requirements of the Fire Safety Act 2021 and </w:t>
      </w:r>
      <w:r w:rsidR="00626D49" w:rsidRPr="003D58F3">
        <w:t>be</w:t>
      </w:r>
      <w:r w:rsidR="001F1F86" w:rsidRPr="003D58F3">
        <w:t xml:space="preserve"> based around the </w:t>
      </w:r>
      <w:r w:rsidRPr="003D58F3">
        <w:t xml:space="preserve">Fire Sector Federation Guide to </w:t>
      </w:r>
      <w:r w:rsidR="00282841" w:rsidRPr="003D58F3">
        <w:t>selection</w:t>
      </w:r>
      <w:r w:rsidRPr="003D58F3">
        <w:t xml:space="preserve"> as a minimum be able to demonstrate their competence through a professional body registration scheme and that body certification be UKAS accredited e.g.</w:t>
      </w:r>
      <w:r w:rsidR="00626D49" w:rsidRPr="003D58F3">
        <w:t xml:space="preserve"> have </w:t>
      </w:r>
      <w:r w:rsidRPr="003D58F3">
        <w:t>British Approvals for Fire Excellence (BAFE) SP205 or similar Institute of Fire Safety Management (IFSM)</w:t>
      </w:r>
      <w:r w:rsidR="00AE2AEF">
        <w:t>.</w:t>
      </w:r>
    </w:p>
    <w:p w14:paraId="7DAED883" w14:textId="33972885" w:rsidR="000C7CAA" w:rsidRPr="003D58F3" w:rsidRDefault="001F1F86" w:rsidP="00B12678">
      <w:pPr>
        <w:pStyle w:val="Style1"/>
        <w:spacing w:line="240" w:lineRule="auto"/>
      </w:pPr>
      <w:r w:rsidRPr="003D58F3">
        <w:t xml:space="preserve">All </w:t>
      </w:r>
      <w:r w:rsidR="00AE2AEF">
        <w:t>FRAs</w:t>
      </w:r>
      <w:r w:rsidRPr="003D58F3">
        <w:t xml:space="preserve"> must be PAS 79</w:t>
      </w:r>
      <w:r w:rsidR="00395CE3">
        <w:t>-1</w:t>
      </w:r>
      <w:r w:rsidRPr="003D58F3">
        <w:t>:20</w:t>
      </w:r>
      <w:r w:rsidR="00AE2AEF">
        <w:t>20</w:t>
      </w:r>
      <w:r w:rsidRPr="003D58F3">
        <w:t xml:space="preserve"> compliant following a specific methodology making sure that all required information relating to the assessment and findings.</w:t>
      </w:r>
    </w:p>
    <w:p w14:paraId="7E80B3E9" w14:textId="073AB3D4" w:rsidR="00C343AC" w:rsidRDefault="00C343AC" w:rsidP="00B12678">
      <w:pPr>
        <w:pStyle w:val="Heading1"/>
      </w:pPr>
      <w:bookmarkStart w:id="7" w:name="_Toc79762747"/>
      <w:r>
        <w:t>Roles and Responsibilities</w:t>
      </w:r>
      <w:bookmarkEnd w:id="7"/>
    </w:p>
    <w:p w14:paraId="7E06123F" w14:textId="5D7B5F4D" w:rsidR="00C343AC" w:rsidRPr="008F40F8" w:rsidRDefault="003D58F3" w:rsidP="00B12678">
      <w:pPr>
        <w:pStyle w:val="Style1"/>
        <w:spacing w:line="240" w:lineRule="auto"/>
        <w:rPr>
          <w:b/>
        </w:rPr>
      </w:pPr>
      <w:r w:rsidRPr="008F40F8">
        <w:rPr>
          <w:b/>
        </w:rPr>
        <w:t>B</w:t>
      </w:r>
      <w:r w:rsidR="009E5530" w:rsidRPr="008F40F8">
        <w:rPr>
          <w:b/>
        </w:rPr>
        <w:t xml:space="preserve">oard and </w:t>
      </w:r>
      <w:r w:rsidR="00C343AC" w:rsidRPr="008F40F8">
        <w:rPr>
          <w:b/>
        </w:rPr>
        <w:t xml:space="preserve">Chief Executive </w:t>
      </w:r>
    </w:p>
    <w:p w14:paraId="21C0E1E7" w14:textId="77777777" w:rsidR="009E5530" w:rsidRDefault="00C343AC" w:rsidP="00B12678">
      <w:pPr>
        <w:spacing w:after="200"/>
        <w:ind w:left="851" w:firstLine="22"/>
        <w:jc w:val="both"/>
        <w:rPr>
          <w:rFonts w:ascii="Calibri" w:eastAsia="Calibri" w:hAnsi="Calibri"/>
          <w:color w:val="0072CE"/>
          <w:szCs w:val="24"/>
          <w:lang w:eastAsia="en-US"/>
        </w:rPr>
      </w:pPr>
      <w:r w:rsidRPr="00C343AC">
        <w:rPr>
          <w:rFonts w:ascii="Calibri" w:eastAsia="Calibri" w:hAnsi="Calibri"/>
          <w:color w:val="0072CE"/>
          <w:szCs w:val="24"/>
          <w:lang w:eastAsia="en-US"/>
        </w:rPr>
        <w:t xml:space="preserve">The </w:t>
      </w:r>
      <w:r w:rsidR="009E5530">
        <w:rPr>
          <w:rFonts w:ascii="Calibri" w:eastAsia="Calibri" w:hAnsi="Calibri"/>
          <w:color w:val="0072CE"/>
          <w:szCs w:val="24"/>
          <w:lang w:eastAsia="en-US"/>
        </w:rPr>
        <w:t>Board has overall responsibility for ensuring that Arches Housing complies with all fire safety regulation, legislation, and approved codes of practice.</w:t>
      </w:r>
    </w:p>
    <w:p w14:paraId="7FA71B81" w14:textId="2EBE070F" w:rsidR="00C343AC" w:rsidRPr="0081626C" w:rsidRDefault="009E5530" w:rsidP="00B12678">
      <w:pPr>
        <w:spacing w:after="200"/>
        <w:ind w:left="851" w:firstLine="22"/>
        <w:jc w:val="both"/>
        <w:rPr>
          <w:rFonts w:ascii="Calibri" w:eastAsia="Calibri" w:hAnsi="Calibri"/>
          <w:color w:val="0072CE"/>
          <w:szCs w:val="24"/>
          <w:lang w:eastAsia="en-US"/>
        </w:rPr>
      </w:pPr>
      <w:r w:rsidRPr="0081626C">
        <w:rPr>
          <w:rFonts w:ascii="Calibri" w:eastAsia="Calibri" w:hAnsi="Calibri"/>
          <w:color w:val="0072CE"/>
          <w:szCs w:val="24"/>
          <w:lang w:eastAsia="en-US"/>
        </w:rPr>
        <w:lastRenderedPageBreak/>
        <w:t xml:space="preserve">The </w:t>
      </w:r>
      <w:r w:rsidR="00C343AC" w:rsidRPr="0081626C">
        <w:rPr>
          <w:rFonts w:ascii="Calibri" w:eastAsia="Calibri" w:hAnsi="Calibri"/>
          <w:color w:val="0072CE"/>
          <w:szCs w:val="24"/>
          <w:lang w:eastAsia="en-US"/>
        </w:rPr>
        <w:t>Chief Executive ha</w:t>
      </w:r>
      <w:r w:rsidRPr="0081626C">
        <w:rPr>
          <w:rFonts w:ascii="Calibri" w:eastAsia="Calibri" w:hAnsi="Calibri"/>
          <w:color w:val="0072CE"/>
          <w:szCs w:val="24"/>
          <w:lang w:eastAsia="en-US"/>
        </w:rPr>
        <w:t xml:space="preserve">s </w:t>
      </w:r>
      <w:r w:rsidR="00395CE3">
        <w:rPr>
          <w:rFonts w:ascii="Calibri" w:eastAsia="Calibri" w:hAnsi="Calibri"/>
          <w:color w:val="0072CE"/>
          <w:szCs w:val="24"/>
          <w:lang w:eastAsia="en-US"/>
        </w:rPr>
        <w:t>responsibility for the Fire Safety</w:t>
      </w:r>
      <w:r w:rsidR="00C343AC" w:rsidRPr="0081626C">
        <w:rPr>
          <w:rFonts w:ascii="Calibri" w:eastAsia="Calibri" w:hAnsi="Calibri"/>
          <w:color w:val="0072CE"/>
          <w:szCs w:val="24"/>
          <w:lang w:eastAsia="en-US"/>
        </w:rPr>
        <w:t xml:space="preserve"> Policy but </w:t>
      </w:r>
      <w:r w:rsidRPr="0081626C">
        <w:rPr>
          <w:rFonts w:ascii="Calibri" w:eastAsia="Calibri" w:hAnsi="Calibri"/>
          <w:color w:val="0072CE"/>
          <w:szCs w:val="24"/>
          <w:lang w:eastAsia="en-US"/>
        </w:rPr>
        <w:t xml:space="preserve">will </w:t>
      </w:r>
      <w:r w:rsidR="00C343AC" w:rsidRPr="0081626C">
        <w:rPr>
          <w:rFonts w:ascii="Calibri" w:eastAsia="Calibri" w:hAnsi="Calibri"/>
          <w:color w:val="0072CE"/>
          <w:szCs w:val="24"/>
          <w:lang w:eastAsia="en-US"/>
        </w:rPr>
        <w:t>delegate actions to the Duty Holder</w:t>
      </w:r>
      <w:r w:rsidR="009047EE">
        <w:rPr>
          <w:rFonts w:ascii="Calibri" w:eastAsia="Calibri" w:hAnsi="Calibri"/>
          <w:color w:val="0072CE"/>
          <w:szCs w:val="24"/>
          <w:lang w:eastAsia="en-US"/>
        </w:rPr>
        <w:t xml:space="preserve"> (Director of Operations)</w:t>
      </w:r>
      <w:r w:rsidR="00C343AC" w:rsidRPr="0081626C">
        <w:rPr>
          <w:rFonts w:ascii="Calibri" w:eastAsia="Calibri" w:hAnsi="Calibri"/>
          <w:color w:val="0072CE"/>
          <w:szCs w:val="24"/>
          <w:lang w:eastAsia="en-US"/>
        </w:rPr>
        <w:t xml:space="preserve"> and other responsible staff</w:t>
      </w:r>
      <w:r w:rsidR="005A331A" w:rsidRPr="0081626C">
        <w:rPr>
          <w:rFonts w:ascii="Calibri" w:eastAsia="Calibri" w:hAnsi="Calibri"/>
          <w:color w:val="0072CE"/>
          <w:szCs w:val="24"/>
          <w:lang w:eastAsia="en-US"/>
        </w:rPr>
        <w:t xml:space="preserve">. </w:t>
      </w:r>
      <w:r w:rsidR="00C343AC" w:rsidRPr="0081626C">
        <w:rPr>
          <w:rFonts w:ascii="Calibri" w:eastAsia="Calibri" w:hAnsi="Calibri"/>
          <w:color w:val="0072CE"/>
          <w:szCs w:val="24"/>
          <w:lang w:eastAsia="en-US"/>
        </w:rPr>
        <w:t>These actions also relate to contractors acting on behalf of Arches</w:t>
      </w:r>
      <w:r w:rsidRPr="0081626C">
        <w:rPr>
          <w:rFonts w:ascii="Calibri" w:eastAsia="Calibri" w:hAnsi="Calibri"/>
          <w:color w:val="0072CE"/>
          <w:szCs w:val="24"/>
          <w:lang w:eastAsia="en-US"/>
        </w:rPr>
        <w:t xml:space="preserve"> Housing</w:t>
      </w:r>
      <w:r w:rsidR="00C343AC" w:rsidRPr="0081626C">
        <w:rPr>
          <w:rFonts w:ascii="Calibri" w:eastAsia="Calibri" w:hAnsi="Calibri"/>
          <w:color w:val="0072CE"/>
          <w:szCs w:val="24"/>
          <w:lang w:eastAsia="en-US"/>
        </w:rPr>
        <w:t xml:space="preserve">. </w:t>
      </w:r>
      <w:r w:rsidRPr="0081626C">
        <w:rPr>
          <w:rFonts w:ascii="Calibri" w:eastAsia="Calibri" w:hAnsi="Calibri"/>
          <w:color w:val="0072CE"/>
          <w:szCs w:val="24"/>
          <w:lang w:eastAsia="en-US"/>
        </w:rPr>
        <w:t xml:space="preserve"> </w:t>
      </w:r>
      <w:r w:rsidR="00C343AC" w:rsidRPr="0081626C">
        <w:rPr>
          <w:rFonts w:ascii="Calibri" w:eastAsia="Calibri" w:hAnsi="Calibri"/>
          <w:color w:val="0072CE"/>
          <w:szCs w:val="24"/>
          <w:lang w:eastAsia="en-US"/>
        </w:rPr>
        <w:t>Key actions are set out below</w:t>
      </w:r>
      <w:r w:rsidRPr="0081626C">
        <w:rPr>
          <w:rFonts w:ascii="Calibri" w:eastAsia="Calibri" w:hAnsi="Calibri"/>
          <w:color w:val="0072CE"/>
          <w:szCs w:val="24"/>
          <w:lang w:eastAsia="en-US"/>
        </w:rPr>
        <w:t>:</w:t>
      </w:r>
      <w:r w:rsidR="00C343AC" w:rsidRPr="0081626C">
        <w:rPr>
          <w:rFonts w:ascii="Calibri" w:eastAsia="Calibri" w:hAnsi="Calibri"/>
          <w:color w:val="0072CE"/>
          <w:szCs w:val="24"/>
          <w:lang w:eastAsia="en-US"/>
        </w:rPr>
        <w:t xml:space="preserve"> </w:t>
      </w:r>
    </w:p>
    <w:p w14:paraId="48D713BB" w14:textId="4DB2C748" w:rsidR="001F0504" w:rsidRPr="0081626C" w:rsidRDefault="00E46FBC" w:rsidP="00B12678">
      <w:pPr>
        <w:numPr>
          <w:ilvl w:val="0"/>
          <w:numId w:val="4"/>
        </w:numPr>
        <w:spacing w:after="200"/>
        <w:ind w:left="1134" w:hanging="283"/>
        <w:contextualSpacing/>
        <w:jc w:val="both"/>
        <w:rPr>
          <w:rFonts w:ascii="Calibri" w:eastAsia="Calibri" w:hAnsi="Calibri"/>
          <w:color w:val="0072CE"/>
          <w:szCs w:val="24"/>
          <w:lang w:eastAsia="en-US"/>
        </w:rPr>
      </w:pPr>
      <w:r w:rsidRPr="0081626C">
        <w:rPr>
          <w:rFonts w:ascii="Calibri" w:eastAsia="Calibri" w:hAnsi="Calibri"/>
          <w:color w:val="0072CE"/>
          <w:szCs w:val="24"/>
          <w:lang w:eastAsia="en-US"/>
        </w:rPr>
        <w:t>Ensuring that regular externally commissioned FRAs</w:t>
      </w:r>
      <w:r w:rsidR="001F0504" w:rsidRPr="0081626C">
        <w:rPr>
          <w:rFonts w:ascii="Calibri" w:eastAsia="Calibri" w:hAnsi="Calibri"/>
          <w:color w:val="0072CE"/>
          <w:szCs w:val="24"/>
          <w:lang w:eastAsia="en-US"/>
        </w:rPr>
        <w:t xml:space="preserve"> are </w:t>
      </w:r>
      <w:r w:rsidR="009E5530" w:rsidRPr="0081626C">
        <w:rPr>
          <w:rFonts w:ascii="Calibri" w:eastAsia="Calibri" w:hAnsi="Calibri"/>
          <w:color w:val="0072CE"/>
          <w:szCs w:val="24"/>
          <w:lang w:eastAsia="en-US"/>
        </w:rPr>
        <w:t xml:space="preserve">carried out and </w:t>
      </w:r>
      <w:r w:rsidR="001F0504" w:rsidRPr="0081626C">
        <w:rPr>
          <w:rFonts w:ascii="Calibri" w:eastAsia="Calibri" w:hAnsi="Calibri"/>
          <w:color w:val="0072CE"/>
          <w:szCs w:val="24"/>
          <w:lang w:eastAsia="en-US"/>
        </w:rPr>
        <w:t>completed</w:t>
      </w:r>
      <w:r w:rsidR="009E5530" w:rsidRPr="0081626C">
        <w:rPr>
          <w:rFonts w:ascii="Calibri" w:eastAsia="Calibri" w:hAnsi="Calibri"/>
          <w:color w:val="0072CE"/>
          <w:szCs w:val="24"/>
          <w:lang w:eastAsia="en-US"/>
        </w:rPr>
        <w:t xml:space="preserve"> by a BAFE </w:t>
      </w:r>
      <w:r w:rsidR="00C64F8E">
        <w:rPr>
          <w:rFonts w:ascii="Calibri" w:eastAsia="Calibri" w:hAnsi="Calibri"/>
          <w:color w:val="0072CE"/>
          <w:szCs w:val="24"/>
          <w:lang w:eastAsia="en-US"/>
        </w:rPr>
        <w:t xml:space="preserve">or equivalent professional body register for </w:t>
      </w:r>
      <w:r w:rsidR="009E5530" w:rsidRPr="0081626C">
        <w:rPr>
          <w:rFonts w:ascii="Calibri" w:eastAsia="Calibri" w:hAnsi="Calibri"/>
          <w:color w:val="0072CE"/>
          <w:szCs w:val="24"/>
          <w:lang w:eastAsia="en-US"/>
        </w:rPr>
        <w:t>accredited fire safety consultancy.</w:t>
      </w:r>
    </w:p>
    <w:p w14:paraId="7E1CCE1D" w14:textId="77777777" w:rsidR="001F0504" w:rsidRPr="001F0504" w:rsidRDefault="001F0504" w:rsidP="00B12678">
      <w:pPr>
        <w:numPr>
          <w:ilvl w:val="0"/>
          <w:numId w:val="4"/>
        </w:numPr>
        <w:spacing w:after="200"/>
        <w:ind w:left="1134" w:hanging="283"/>
        <w:contextualSpacing/>
        <w:jc w:val="both"/>
        <w:rPr>
          <w:rFonts w:ascii="Calibri" w:eastAsia="Calibri" w:hAnsi="Calibri"/>
          <w:color w:val="0072CE"/>
          <w:szCs w:val="24"/>
          <w:lang w:eastAsia="en-US"/>
        </w:rPr>
      </w:pPr>
      <w:r w:rsidRPr="001F0504">
        <w:rPr>
          <w:rFonts w:ascii="Calibri" w:eastAsia="Calibri" w:hAnsi="Calibri"/>
          <w:color w:val="0072CE"/>
          <w:szCs w:val="24"/>
          <w:lang w:eastAsia="en-US"/>
        </w:rPr>
        <w:t xml:space="preserve">Ensuring adequate resources are allocated to managing the risks associated to </w:t>
      </w:r>
      <w:r>
        <w:rPr>
          <w:rFonts w:ascii="Calibri" w:eastAsia="Calibri" w:hAnsi="Calibri"/>
          <w:color w:val="0072CE"/>
          <w:szCs w:val="24"/>
          <w:lang w:eastAsia="en-US"/>
        </w:rPr>
        <w:t>fire safety</w:t>
      </w:r>
      <w:r w:rsidR="009E5530">
        <w:rPr>
          <w:rFonts w:ascii="Calibri" w:eastAsia="Calibri" w:hAnsi="Calibri"/>
          <w:color w:val="0072CE"/>
          <w:szCs w:val="24"/>
          <w:lang w:eastAsia="en-US"/>
        </w:rPr>
        <w:t>.</w:t>
      </w:r>
    </w:p>
    <w:p w14:paraId="321C1EEE" w14:textId="77777777" w:rsidR="001F0504" w:rsidRPr="001F0504" w:rsidRDefault="001F0504" w:rsidP="00B12678">
      <w:pPr>
        <w:numPr>
          <w:ilvl w:val="0"/>
          <w:numId w:val="4"/>
        </w:numPr>
        <w:spacing w:after="200"/>
        <w:ind w:left="1134" w:hanging="283"/>
        <w:contextualSpacing/>
        <w:jc w:val="both"/>
        <w:rPr>
          <w:rFonts w:ascii="Calibri" w:eastAsia="Calibri" w:hAnsi="Calibri"/>
          <w:color w:val="0072CE"/>
          <w:szCs w:val="24"/>
          <w:lang w:eastAsia="en-US"/>
        </w:rPr>
      </w:pPr>
      <w:r w:rsidRPr="001F0504">
        <w:rPr>
          <w:rFonts w:ascii="Calibri" w:eastAsia="Calibri" w:hAnsi="Calibri"/>
          <w:color w:val="0072CE"/>
          <w:szCs w:val="24"/>
          <w:lang w:eastAsia="en-US"/>
        </w:rPr>
        <w:t xml:space="preserve">Ensuring adequate processes and procedures are in place to manage the risks </w:t>
      </w:r>
      <w:r>
        <w:rPr>
          <w:rFonts w:ascii="Calibri" w:eastAsia="Calibri" w:hAnsi="Calibri"/>
          <w:color w:val="0072CE"/>
          <w:szCs w:val="24"/>
          <w:lang w:eastAsia="en-US"/>
        </w:rPr>
        <w:t>relating to fire</w:t>
      </w:r>
      <w:r w:rsidR="009E5530">
        <w:rPr>
          <w:rFonts w:ascii="Calibri" w:eastAsia="Calibri" w:hAnsi="Calibri"/>
          <w:color w:val="0072CE"/>
          <w:szCs w:val="24"/>
          <w:lang w:eastAsia="en-US"/>
        </w:rPr>
        <w:t>.</w:t>
      </w:r>
      <w:r w:rsidRPr="001F0504">
        <w:rPr>
          <w:rFonts w:ascii="Calibri" w:eastAsia="Calibri" w:hAnsi="Calibri"/>
          <w:color w:val="0072CE"/>
          <w:szCs w:val="24"/>
          <w:lang w:eastAsia="en-US"/>
        </w:rPr>
        <w:t xml:space="preserve"> </w:t>
      </w:r>
    </w:p>
    <w:p w14:paraId="7BDB559E" w14:textId="77777777" w:rsidR="007F5869" w:rsidRPr="001F0504" w:rsidRDefault="007F5869" w:rsidP="00B12678">
      <w:pPr>
        <w:numPr>
          <w:ilvl w:val="0"/>
          <w:numId w:val="4"/>
        </w:numPr>
        <w:spacing w:after="200"/>
        <w:ind w:left="1134" w:hanging="283"/>
        <w:contextualSpacing/>
        <w:jc w:val="both"/>
        <w:rPr>
          <w:rFonts w:ascii="Calibri" w:eastAsia="Calibri" w:hAnsi="Calibri"/>
          <w:color w:val="0072CE"/>
          <w:szCs w:val="24"/>
          <w:lang w:eastAsia="en-US"/>
        </w:rPr>
      </w:pPr>
      <w:r w:rsidRPr="001F0504">
        <w:rPr>
          <w:rFonts w:ascii="Calibri" w:eastAsia="Calibri" w:hAnsi="Calibri"/>
          <w:color w:val="0072CE"/>
          <w:szCs w:val="24"/>
          <w:lang w:eastAsia="en-US"/>
        </w:rPr>
        <w:t>Ensuring sufficient information, instruction and training is carried out</w:t>
      </w:r>
      <w:r w:rsidR="009E5530">
        <w:rPr>
          <w:rFonts w:ascii="Calibri" w:eastAsia="Calibri" w:hAnsi="Calibri"/>
          <w:color w:val="0072CE"/>
          <w:szCs w:val="24"/>
          <w:lang w:eastAsia="en-US"/>
        </w:rPr>
        <w:t>.</w:t>
      </w:r>
      <w:r w:rsidRPr="001F0504">
        <w:rPr>
          <w:rFonts w:ascii="Calibri" w:eastAsia="Calibri" w:hAnsi="Calibri"/>
          <w:color w:val="0072CE"/>
          <w:szCs w:val="24"/>
          <w:lang w:eastAsia="en-US"/>
        </w:rPr>
        <w:t xml:space="preserve"> </w:t>
      </w:r>
    </w:p>
    <w:p w14:paraId="28708157" w14:textId="77777777" w:rsidR="007F5869" w:rsidRDefault="007F5869" w:rsidP="00B12678">
      <w:pPr>
        <w:numPr>
          <w:ilvl w:val="0"/>
          <w:numId w:val="4"/>
        </w:numPr>
        <w:spacing w:after="200"/>
        <w:ind w:left="1134" w:hanging="283"/>
        <w:contextualSpacing/>
        <w:jc w:val="both"/>
        <w:rPr>
          <w:rFonts w:ascii="Calibri" w:eastAsia="Calibri" w:hAnsi="Calibri"/>
          <w:color w:val="0072CE"/>
          <w:szCs w:val="24"/>
          <w:lang w:eastAsia="en-US"/>
        </w:rPr>
      </w:pPr>
      <w:r w:rsidRPr="001F0504">
        <w:rPr>
          <w:rFonts w:ascii="Calibri" w:eastAsia="Calibri" w:hAnsi="Calibri"/>
          <w:color w:val="0072CE"/>
          <w:szCs w:val="24"/>
          <w:lang w:eastAsia="en-US"/>
        </w:rPr>
        <w:t>Monitoring the performance of staff and contractors</w:t>
      </w:r>
      <w:r w:rsidR="009E5530">
        <w:rPr>
          <w:rFonts w:ascii="Calibri" w:eastAsia="Calibri" w:hAnsi="Calibri"/>
          <w:color w:val="0072CE"/>
          <w:szCs w:val="24"/>
          <w:lang w:eastAsia="en-US"/>
        </w:rPr>
        <w:t>.</w:t>
      </w:r>
    </w:p>
    <w:p w14:paraId="7F1EB2A7" w14:textId="0F412A49" w:rsidR="007F5869" w:rsidRDefault="007F5869" w:rsidP="00B12678">
      <w:pPr>
        <w:numPr>
          <w:ilvl w:val="0"/>
          <w:numId w:val="4"/>
        </w:numPr>
        <w:spacing w:after="200"/>
        <w:ind w:left="1134" w:hanging="283"/>
        <w:contextualSpacing/>
        <w:jc w:val="both"/>
        <w:rPr>
          <w:rFonts w:ascii="Calibri" w:eastAsia="Calibri" w:hAnsi="Calibri"/>
          <w:color w:val="0072CE"/>
          <w:szCs w:val="24"/>
          <w:lang w:eastAsia="en-US"/>
        </w:rPr>
      </w:pPr>
      <w:r w:rsidRPr="008352E4">
        <w:rPr>
          <w:rFonts w:ascii="Calibri" w:eastAsia="Calibri" w:hAnsi="Calibri"/>
          <w:color w:val="0072CE"/>
          <w:szCs w:val="24"/>
          <w:lang w:eastAsia="en-US"/>
        </w:rPr>
        <w:t xml:space="preserve">Reporting any material breach of </w:t>
      </w:r>
      <w:r w:rsidR="008F40F8" w:rsidRPr="008352E4">
        <w:rPr>
          <w:rFonts w:ascii="Calibri" w:eastAsia="Calibri" w:hAnsi="Calibri"/>
          <w:color w:val="0072CE"/>
          <w:szCs w:val="24"/>
          <w:lang w:eastAsia="en-US"/>
        </w:rPr>
        <w:t>non-compliance</w:t>
      </w:r>
      <w:r w:rsidRPr="008352E4">
        <w:rPr>
          <w:rFonts w:ascii="Calibri" w:eastAsia="Calibri" w:hAnsi="Calibri"/>
          <w:color w:val="0072CE"/>
          <w:szCs w:val="24"/>
          <w:lang w:eastAsia="en-US"/>
        </w:rPr>
        <w:t xml:space="preserve"> of the Home Standard to the Board and the </w:t>
      </w:r>
      <w:r w:rsidR="009E5530">
        <w:rPr>
          <w:rFonts w:ascii="Calibri" w:eastAsia="Calibri" w:hAnsi="Calibri"/>
          <w:color w:val="0072CE"/>
          <w:szCs w:val="24"/>
          <w:lang w:eastAsia="en-US"/>
        </w:rPr>
        <w:t>Regulator of Social Housing.</w:t>
      </w:r>
    </w:p>
    <w:p w14:paraId="57B8BEE1" w14:textId="5FAEAA40" w:rsidR="00D7344E" w:rsidRDefault="00D7344E" w:rsidP="00B12678">
      <w:pPr>
        <w:numPr>
          <w:ilvl w:val="0"/>
          <w:numId w:val="4"/>
        </w:numPr>
        <w:spacing w:after="200"/>
        <w:ind w:left="1134" w:hanging="283"/>
        <w:contextualSpacing/>
        <w:jc w:val="both"/>
        <w:rPr>
          <w:rFonts w:ascii="Calibri" w:eastAsia="Calibri" w:hAnsi="Calibri"/>
          <w:color w:val="0072CE"/>
          <w:szCs w:val="24"/>
          <w:lang w:eastAsia="en-US"/>
        </w:rPr>
      </w:pPr>
      <w:r>
        <w:rPr>
          <w:rFonts w:ascii="Calibri" w:eastAsia="Calibri" w:hAnsi="Calibri"/>
          <w:color w:val="0072CE"/>
          <w:szCs w:val="24"/>
          <w:lang w:eastAsia="en-US"/>
        </w:rPr>
        <w:t xml:space="preserve">Ensure Arches </w:t>
      </w:r>
      <w:r w:rsidR="009E5530">
        <w:rPr>
          <w:rFonts w:ascii="Calibri" w:eastAsia="Calibri" w:hAnsi="Calibri"/>
          <w:color w:val="0072CE"/>
          <w:szCs w:val="24"/>
          <w:lang w:eastAsia="en-US"/>
        </w:rPr>
        <w:t xml:space="preserve">Housing </w:t>
      </w:r>
      <w:r>
        <w:rPr>
          <w:rFonts w:ascii="Calibri" w:eastAsia="Calibri" w:hAnsi="Calibri"/>
          <w:color w:val="0072CE"/>
          <w:szCs w:val="24"/>
          <w:lang w:eastAsia="en-US"/>
        </w:rPr>
        <w:t xml:space="preserve">takes account of the requirements of the </w:t>
      </w:r>
      <w:r w:rsidR="00B97CE0">
        <w:rPr>
          <w:rFonts w:ascii="Calibri" w:eastAsia="Calibri" w:hAnsi="Calibri"/>
          <w:color w:val="0072CE"/>
          <w:szCs w:val="24"/>
          <w:lang w:eastAsia="en-US"/>
        </w:rPr>
        <w:t xml:space="preserve">Fire Safety Act 2021 which amends the </w:t>
      </w:r>
      <w:r>
        <w:rPr>
          <w:rFonts w:ascii="Calibri" w:eastAsia="Calibri" w:hAnsi="Calibri"/>
          <w:color w:val="0072CE"/>
          <w:szCs w:val="24"/>
          <w:lang w:eastAsia="en-US"/>
        </w:rPr>
        <w:t xml:space="preserve">Regulatory Reform (Fire Safety) Order 2005 in its </w:t>
      </w:r>
      <w:r w:rsidR="008F40F8">
        <w:rPr>
          <w:rFonts w:ascii="Calibri" w:eastAsia="Calibri" w:hAnsi="Calibri"/>
          <w:color w:val="0072CE"/>
          <w:szCs w:val="24"/>
          <w:lang w:eastAsia="en-US"/>
        </w:rPr>
        <w:t>non-domestic</w:t>
      </w:r>
      <w:r>
        <w:rPr>
          <w:rFonts w:ascii="Calibri" w:eastAsia="Calibri" w:hAnsi="Calibri"/>
          <w:color w:val="0072CE"/>
          <w:szCs w:val="24"/>
          <w:lang w:eastAsia="en-US"/>
        </w:rPr>
        <w:t xml:space="preserve"> (communal) areas</w:t>
      </w:r>
      <w:r w:rsidR="009E5530">
        <w:rPr>
          <w:rFonts w:ascii="Calibri" w:eastAsia="Calibri" w:hAnsi="Calibri"/>
          <w:color w:val="0072CE"/>
          <w:szCs w:val="24"/>
          <w:lang w:eastAsia="en-US"/>
        </w:rPr>
        <w:t>.</w:t>
      </w:r>
    </w:p>
    <w:p w14:paraId="35E46C42" w14:textId="4AC63569" w:rsidR="00B97CE0" w:rsidRDefault="00B97CE0" w:rsidP="00B12678">
      <w:pPr>
        <w:numPr>
          <w:ilvl w:val="0"/>
          <w:numId w:val="4"/>
        </w:numPr>
        <w:spacing w:after="200"/>
        <w:ind w:left="1134" w:hanging="283"/>
        <w:contextualSpacing/>
        <w:jc w:val="both"/>
        <w:rPr>
          <w:rFonts w:ascii="Calibri" w:eastAsia="Calibri" w:hAnsi="Calibri"/>
          <w:color w:val="0072CE"/>
          <w:szCs w:val="24"/>
          <w:lang w:eastAsia="en-US"/>
        </w:rPr>
      </w:pPr>
      <w:r>
        <w:rPr>
          <w:rFonts w:ascii="Calibri" w:eastAsia="Calibri" w:hAnsi="Calibri"/>
          <w:color w:val="0072CE"/>
          <w:szCs w:val="24"/>
          <w:lang w:eastAsia="en-US"/>
        </w:rPr>
        <w:t>Ensure the alignment of the Building Safety Bill (and any subsequent legislation) and the Fire Safety Act are reflected in this policy and the organisation approach to fire safety for customers and homes</w:t>
      </w:r>
      <w:r w:rsidR="008F40F8">
        <w:rPr>
          <w:rFonts w:ascii="Calibri" w:eastAsia="Calibri" w:hAnsi="Calibri"/>
          <w:color w:val="0072CE"/>
          <w:szCs w:val="24"/>
          <w:lang w:eastAsia="en-US"/>
        </w:rPr>
        <w:t>.</w:t>
      </w:r>
    </w:p>
    <w:p w14:paraId="657FB4A6" w14:textId="77777777" w:rsidR="00D7344E" w:rsidRPr="00566BE3" w:rsidRDefault="00D7344E" w:rsidP="00B12678">
      <w:pPr>
        <w:numPr>
          <w:ilvl w:val="0"/>
          <w:numId w:val="4"/>
        </w:numPr>
        <w:spacing w:after="200"/>
        <w:ind w:left="1134" w:hanging="283"/>
        <w:contextualSpacing/>
        <w:jc w:val="both"/>
        <w:rPr>
          <w:rFonts w:ascii="Calibri" w:eastAsia="Calibri" w:hAnsi="Calibri"/>
          <w:color w:val="0072CE"/>
          <w:szCs w:val="24"/>
          <w:lang w:eastAsia="en-US"/>
        </w:rPr>
      </w:pPr>
      <w:r w:rsidRPr="00D7344E">
        <w:rPr>
          <w:rFonts w:ascii="Calibri" w:eastAsia="Calibri" w:hAnsi="Calibri"/>
          <w:color w:val="0072CE"/>
          <w:szCs w:val="24"/>
          <w:lang w:eastAsia="en-US"/>
        </w:rPr>
        <w:t xml:space="preserve">Ensure enforcement action is not taken by the Fire and Rescue Service </w:t>
      </w:r>
      <w:r w:rsidR="00566BE3">
        <w:rPr>
          <w:rFonts w:ascii="Calibri" w:eastAsia="Calibri" w:hAnsi="Calibri"/>
          <w:color w:val="0072CE"/>
          <w:szCs w:val="24"/>
          <w:lang w:eastAsia="en-US"/>
        </w:rPr>
        <w:t xml:space="preserve">against the </w:t>
      </w:r>
      <w:r w:rsidRPr="00D7344E">
        <w:rPr>
          <w:rFonts w:ascii="Calibri" w:eastAsia="Calibri" w:hAnsi="Calibri"/>
          <w:color w:val="0072CE"/>
          <w:szCs w:val="24"/>
          <w:lang w:eastAsia="en-US"/>
        </w:rPr>
        <w:t xml:space="preserve">association </w:t>
      </w:r>
      <w:r w:rsidR="00566BE3">
        <w:rPr>
          <w:rFonts w:ascii="Calibri" w:eastAsia="Calibri" w:hAnsi="Calibri"/>
          <w:color w:val="0072CE"/>
          <w:szCs w:val="24"/>
          <w:lang w:eastAsia="en-US"/>
        </w:rPr>
        <w:t>and is not on the Prosecution R</w:t>
      </w:r>
      <w:r w:rsidRPr="00566BE3">
        <w:rPr>
          <w:rFonts w:ascii="Calibri" w:eastAsia="Calibri" w:hAnsi="Calibri"/>
          <w:color w:val="0072CE"/>
          <w:szCs w:val="24"/>
          <w:lang w:eastAsia="en-US"/>
        </w:rPr>
        <w:t>egister in relation to breaches of The Regulatory Reform (Fire Safety) Order 2005</w:t>
      </w:r>
      <w:r w:rsidR="009E5530">
        <w:rPr>
          <w:rFonts w:ascii="Calibri" w:eastAsia="Calibri" w:hAnsi="Calibri"/>
          <w:color w:val="0072CE"/>
          <w:szCs w:val="24"/>
          <w:lang w:eastAsia="en-US"/>
        </w:rPr>
        <w:t>.</w:t>
      </w:r>
    </w:p>
    <w:p w14:paraId="6F422842" w14:textId="77777777" w:rsidR="007F5869" w:rsidRPr="008352E4" w:rsidRDefault="007F5869" w:rsidP="00B12678">
      <w:pPr>
        <w:numPr>
          <w:ilvl w:val="0"/>
          <w:numId w:val="4"/>
        </w:numPr>
        <w:spacing w:after="200"/>
        <w:ind w:left="1134" w:hanging="283"/>
        <w:contextualSpacing/>
        <w:jc w:val="both"/>
        <w:rPr>
          <w:rFonts w:ascii="Calibri" w:eastAsia="Calibri" w:hAnsi="Calibri"/>
          <w:color w:val="0072CE"/>
          <w:szCs w:val="24"/>
          <w:lang w:eastAsia="en-US"/>
        </w:rPr>
      </w:pPr>
      <w:r w:rsidRPr="008352E4">
        <w:rPr>
          <w:rFonts w:ascii="Calibri" w:eastAsia="Calibri" w:hAnsi="Calibri"/>
          <w:color w:val="0072CE"/>
          <w:szCs w:val="24"/>
          <w:lang w:eastAsia="en-US"/>
        </w:rPr>
        <w:t xml:space="preserve">Ensuring that members of the public, staff and contractors are not unnecessarily exposed to risks associated to </w:t>
      </w:r>
      <w:r>
        <w:rPr>
          <w:rFonts w:ascii="Calibri" w:eastAsia="Calibri" w:hAnsi="Calibri"/>
          <w:color w:val="0072CE"/>
          <w:szCs w:val="24"/>
          <w:lang w:eastAsia="en-US"/>
        </w:rPr>
        <w:t>fire risk</w:t>
      </w:r>
      <w:r w:rsidR="009E5530">
        <w:rPr>
          <w:rFonts w:ascii="Calibri" w:eastAsia="Calibri" w:hAnsi="Calibri"/>
          <w:color w:val="0072CE"/>
          <w:szCs w:val="24"/>
          <w:lang w:eastAsia="en-US"/>
        </w:rPr>
        <w:t>.</w:t>
      </w:r>
    </w:p>
    <w:p w14:paraId="580F51A7" w14:textId="77777777" w:rsidR="007F5869" w:rsidRPr="006A673A" w:rsidRDefault="007F5869" w:rsidP="00B12678">
      <w:pPr>
        <w:numPr>
          <w:ilvl w:val="0"/>
          <w:numId w:val="4"/>
        </w:numPr>
        <w:spacing w:after="200"/>
        <w:ind w:left="1134" w:hanging="283"/>
        <w:contextualSpacing/>
        <w:jc w:val="both"/>
        <w:rPr>
          <w:rFonts w:ascii="Calibri" w:hAnsi="Calibri" w:cs="Calibri"/>
          <w:color w:val="0072CE"/>
          <w:szCs w:val="24"/>
        </w:rPr>
      </w:pPr>
      <w:r w:rsidRPr="001F0504">
        <w:rPr>
          <w:rFonts w:ascii="Calibri" w:eastAsia="Calibri" w:hAnsi="Calibri"/>
          <w:color w:val="0072CE"/>
          <w:szCs w:val="24"/>
          <w:lang w:eastAsia="en-US"/>
        </w:rPr>
        <w:t xml:space="preserve">Ensuring appropriate </w:t>
      </w:r>
      <w:r w:rsidR="00023F3B">
        <w:rPr>
          <w:rFonts w:ascii="Calibri" w:eastAsia="Calibri" w:hAnsi="Calibri"/>
          <w:color w:val="0072CE"/>
          <w:szCs w:val="24"/>
          <w:lang w:eastAsia="en-US"/>
        </w:rPr>
        <w:t>inspections are made to common</w:t>
      </w:r>
      <w:r w:rsidRPr="001F0504">
        <w:rPr>
          <w:rFonts w:ascii="Calibri" w:eastAsia="Calibri" w:hAnsi="Calibri"/>
          <w:color w:val="0072CE"/>
          <w:szCs w:val="24"/>
          <w:lang w:eastAsia="en-US"/>
        </w:rPr>
        <w:t xml:space="preserve"> areas</w:t>
      </w:r>
      <w:r w:rsidR="009E5530">
        <w:rPr>
          <w:rFonts w:ascii="Calibri" w:eastAsia="Calibri" w:hAnsi="Calibri"/>
          <w:color w:val="0072CE"/>
          <w:szCs w:val="24"/>
          <w:lang w:eastAsia="en-US"/>
        </w:rPr>
        <w:t>.</w:t>
      </w:r>
    </w:p>
    <w:p w14:paraId="5EBC603D" w14:textId="77777777" w:rsidR="007F5869" w:rsidRPr="006A673A" w:rsidRDefault="007F5869" w:rsidP="00B12678">
      <w:pPr>
        <w:numPr>
          <w:ilvl w:val="0"/>
          <w:numId w:val="4"/>
        </w:numPr>
        <w:spacing w:after="200"/>
        <w:ind w:left="1134" w:hanging="283"/>
        <w:contextualSpacing/>
        <w:jc w:val="both"/>
        <w:rPr>
          <w:rFonts w:ascii="Calibri" w:hAnsi="Calibri" w:cs="Calibri"/>
          <w:color w:val="0072CE"/>
          <w:szCs w:val="24"/>
        </w:rPr>
      </w:pPr>
      <w:r w:rsidRPr="006A673A">
        <w:rPr>
          <w:rFonts w:ascii="Calibri" w:hAnsi="Calibri" w:cs="Calibri"/>
          <w:color w:val="0072CE"/>
          <w:szCs w:val="24"/>
        </w:rPr>
        <w:t xml:space="preserve">Ensuring that Arches </w:t>
      </w:r>
      <w:r w:rsidR="009E5530">
        <w:rPr>
          <w:rFonts w:ascii="Calibri" w:hAnsi="Calibri" w:cs="Calibri"/>
          <w:color w:val="0072CE"/>
          <w:szCs w:val="24"/>
        </w:rPr>
        <w:t xml:space="preserve">Housing </w:t>
      </w:r>
      <w:r w:rsidRPr="006A673A">
        <w:rPr>
          <w:rFonts w:ascii="Calibri" w:hAnsi="Calibri" w:cs="Calibri"/>
          <w:color w:val="0072CE"/>
          <w:szCs w:val="24"/>
        </w:rPr>
        <w:t xml:space="preserve">complies with its overall </w:t>
      </w:r>
      <w:r>
        <w:rPr>
          <w:rFonts w:ascii="Calibri" w:hAnsi="Calibri" w:cs="Calibri"/>
          <w:color w:val="0072CE"/>
          <w:szCs w:val="24"/>
        </w:rPr>
        <w:t>legal duties in relation to fire safety</w:t>
      </w:r>
      <w:r w:rsidR="009E5530">
        <w:rPr>
          <w:rFonts w:ascii="Calibri" w:hAnsi="Calibri" w:cs="Calibri"/>
          <w:color w:val="0072CE"/>
          <w:szCs w:val="24"/>
        </w:rPr>
        <w:t>.</w:t>
      </w:r>
    </w:p>
    <w:p w14:paraId="7BC4E590" w14:textId="77777777" w:rsidR="007F5869" w:rsidRDefault="007F5869" w:rsidP="00B12678">
      <w:pPr>
        <w:ind w:left="567" w:hanging="567"/>
        <w:jc w:val="both"/>
        <w:rPr>
          <w:rFonts w:ascii="Calibri" w:eastAsia="Calibri" w:hAnsi="Calibri"/>
          <w:color w:val="0072CE"/>
          <w:szCs w:val="24"/>
          <w:lang w:eastAsia="en-US"/>
        </w:rPr>
      </w:pPr>
    </w:p>
    <w:p w14:paraId="4BA7CA9C" w14:textId="4212B159" w:rsidR="001F0504" w:rsidRPr="008F40F8" w:rsidRDefault="001F0504" w:rsidP="00B12678">
      <w:pPr>
        <w:pStyle w:val="Style1"/>
        <w:spacing w:line="240" w:lineRule="auto"/>
        <w:rPr>
          <w:b/>
        </w:rPr>
      </w:pPr>
      <w:r w:rsidRPr="008F40F8">
        <w:rPr>
          <w:b/>
        </w:rPr>
        <w:t>Director of Operations – ‘</w:t>
      </w:r>
      <w:r w:rsidR="007169A3" w:rsidRPr="008F40F8">
        <w:rPr>
          <w:b/>
        </w:rPr>
        <w:t>Accountable Person (</w:t>
      </w:r>
      <w:r w:rsidRPr="008F40F8">
        <w:rPr>
          <w:b/>
        </w:rPr>
        <w:t>Duty Holder</w:t>
      </w:r>
      <w:r w:rsidR="007169A3" w:rsidRPr="008F40F8">
        <w:rPr>
          <w:b/>
        </w:rPr>
        <w:t>)</w:t>
      </w:r>
      <w:r w:rsidRPr="008F40F8">
        <w:rPr>
          <w:b/>
        </w:rPr>
        <w:t>’</w:t>
      </w:r>
    </w:p>
    <w:p w14:paraId="559415F3" w14:textId="66E6185D" w:rsidR="001F0504" w:rsidRPr="001F0504" w:rsidRDefault="001F0504" w:rsidP="00B12678">
      <w:pPr>
        <w:spacing w:after="200"/>
        <w:ind w:left="873"/>
        <w:jc w:val="both"/>
        <w:rPr>
          <w:rFonts w:ascii="Calibri" w:eastAsia="Calibri" w:hAnsi="Calibri"/>
          <w:color w:val="0072CE"/>
          <w:szCs w:val="24"/>
          <w:lang w:eastAsia="en-US"/>
        </w:rPr>
      </w:pPr>
      <w:r w:rsidRPr="001F0504">
        <w:rPr>
          <w:rFonts w:ascii="Calibri" w:eastAsia="Calibri" w:hAnsi="Calibri"/>
          <w:color w:val="0072CE"/>
          <w:szCs w:val="24"/>
          <w:lang w:eastAsia="en-US"/>
        </w:rPr>
        <w:t xml:space="preserve">The Director of Operations shall serve as the </w:t>
      </w:r>
      <w:r>
        <w:rPr>
          <w:rFonts w:ascii="Calibri" w:eastAsia="Calibri" w:hAnsi="Calibri"/>
          <w:color w:val="0072CE"/>
          <w:szCs w:val="24"/>
          <w:lang w:eastAsia="en-US"/>
        </w:rPr>
        <w:t xml:space="preserve">Fire Safety </w:t>
      </w:r>
      <w:r w:rsidR="007169A3">
        <w:rPr>
          <w:rFonts w:ascii="Calibri" w:eastAsia="Calibri" w:hAnsi="Calibri"/>
          <w:color w:val="0072CE"/>
          <w:szCs w:val="24"/>
          <w:lang w:eastAsia="en-US"/>
        </w:rPr>
        <w:t>‘Accountable Person</w:t>
      </w:r>
      <w:r w:rsidRPr="001F0504">
        <w:rPr>
          <w:rFonts w:ascii="Calibri" w:eastAsia="Calibri" w:hAnsi="Calibri"/>
          <w:color w:val="0072CE"/>
          <w:szCs w:val="24"/>
          <w:lang w:eastAsia="en-US"/>
        </w:rPr>
        <w:t xml:space="preserve">’ and be responsible for the strategic management of </w:t>
      </w:r>
      <w:r>
        <w:rPr>
          <w:rFonts w:ascii="Calibri" w:eastAsia="Calibri" w:hAnsi="Calibri"/>
          <w:color w:val="0072CE"/>
          <w:szCs w:val="24"/>
          <w:lang w:eastAsia="en-US"/>
        </w:rPr>
        <w:t xml:space="preserve">fire safety </w:t>
      </w:r>
      <w:r w:rsidRPr="001F0504">
        <w:rPr>
          <w:rFonts w:ascii="Calibri" w:eastAsia="Calibri" w:hAnsi="Calibri"/>
          <w:color w:val="0072CE"/>
          <w:szCs w:val="24"/>
          <w:lang w:eastAsia="en-US"/>
        </w:rPr>
        <w:t xml:space="preserve">within Arches Housing, reporting directly to the Chief Executive and </w:t>
      </w:r>
      <w:r w:rsidR="0087004A">
        <w:rPr>
          <w:rFonts w:ascii="Calibri" w:eastAsia="Calibri" w:hAnsi="Calibri"/>
          <w:color w:val="0072CE"/>
          <w:szCs w:val="24"/>
          <w:lang w:eastAsia="en-US"/>
        </w:rPr>
        <w:t xml:space="preserve">the Board and </w:t>
      </w:r>
      <w:r w:rsidRPr="001F0504">
        <w:rPr>
          <w:rFonts w:ascii="Calibri" w:eastAsia="Calibri" w:hAnsi="Calibri"/>
          <w:color w:val="0072CE"/>
          <w:szCs w:val="24"/>
          <w:lang w:eastAsia="en-US"/>
        </w:rPr>
        <w:t xml:space="preserve">shall: </w:t>
      </w:r>
    </w:p>
    <w:p w14:paraId="2D1AEF02" w14:textId="77777777" w:rsidR="001F0504" w:rsidRPr="001F0504" w:rsidRDefault="001F0504" w:rsidP="00B12678">
      <w:pPr>
        <w:numPr>
          <w:ilvl w:val="0"/>
          <w:numId w:val="5"/>
        </w:numPr>
        <w:spacing w:after="200"/>
        <w:ind w:left="1134" w:hanging="283"/>
        <w:contextualSpacing/>
        <w:jc w:val="both"/>
        <w:rPr>
          <w:rFonts w:ascii="Calibri" w:eastAsia="Calibri" w:hAnsi="Calibri"/>
          <w:color w:val="0072CE"/>
          <w:szCs w:val="24"/>
          <w:lang w:eastAsia="en-US"/>
        </w:rPr>
      </w:pPr>
      <w:r w:rsidRPr="001F0504">
        <w:rPr>
          <w:rFonts w:ascii="Calibri" w:eastAsia="Calibri" w:hAnsi="Calibri"/>
          <w:color w:val="0072CE"/>
          <w:szCs w:val="24"/>
          <w:lang w:eastAsia="en-US"/>
        </w:rPr>
        <w:t xml:space="preserve">Formulate and revise Arches </w:t>
      </w:r>
      <w:r w:rsidR="009E5530">
        <w:rPr>
          <w:rFonts w:ascii="Calibri" w:eastAsia="Calibri" w:hAnsi="Calibri"/>
          <w:color w:val="0072CE"/>
          <w:szCs w:val="24"/>
          <w:lang w:eastAsia="en-US"/>
        </w:rPr>
        <w:t xml:space="preserve">Housing </w:t>
      </w:r>
      <w:r w:rsidR="0087004A">
        <w:rPr>
          <w:rFonts w:ascii="Calibri" w:eastAsia="Calibri" w:hAnsi="Calibri"/>
          <w:color w:val="0072CE"/>
          <w:szCs w:val="24"/>
          <w:lang w:eastAsia="en-US"/>
        </w:rPr>
        <w:t>P</w:t>
      </w:r>
      <w:r w:rsidRPr="001F0504">
        <w:rPr>
          <w:rFonts w:ascii="Calibri" w:eastAsia="Calibri" w:hAnsi="Calibri"/>
          <w:color w:val="0072CE"/>
          <w:szCs w:val="24"/>
          <w:lang w:eastAsia="en-US"/>
        </w:rPr>
        <w:t>olicy</w:t>
      </w:r>
      <w:r w:rsidR="0087004A">
        <w:rPr>
          <w:rFonts w:ascii="Calibri" w:eastAsia="Calibri" w:hAnsi="Calibri"/>
          <w:color w:val="0072CE"/>
          <w:szCs w:val="24"/>
          <w:lang w:eastAsia="en-US"/>
        </w:rPr>
        <w:t>.</w:t>
      </w:r>
      <w:r w:rsidRPr="001F0504">
        <w:rPr>
          <w:rFonts w:ascii="Calibri" w:eastAsia="Calibri" w:hAnsi="Calibri"/>
          <w:color w:val="0072CE"/>
          <w:szCs w:val="24"/>
          <w:lang w:eastAsia="en-US"/>
        </w:rPr>
        <w:t xml:space="preserve"> </w:t>
      </w:r>
    </w:p>
    <w:p w14:paraId="7D4FF07F" w14:textId="403AA4F2" w:rsidR="001F0504" w:rsidRPr="001F0504" w:rsidRDefault="001F0504" w:rsidP="00B12678">
      <w:pPr>
        <w:numPr>
          <w:ilvl w:val="0"/>
          <w:numId w:val="5"/>
        </w:numPr>
        <w:spacing w:after="200"/>
        <w:ind w:left="1134" w:hanging="283"/>
        <w:contextualSpacing/>
        <w:jc w:val="both"/>
        <w:rPr>
          <w:rFonts w:ascii="Calibri" w:eastAsia="Calibri" w:hAnsi="Calibri"/>
          <w:color w:val="0072CE"/>
          <w:szCs w:val="24"/>
          <w:lang w:eastAsia="en-US"/>
        </w:rPr>
      </w:pPr>
      <w:r w:rsidRPr="001F0504">
        <w:rPr>
          <w:rFonts w:ascii="Calibri" w:eastAsia="Calibri" w:hAnsi="Calibri"/>
          <w:color w:val="0072CE"/>
          <w:szCs w:val="24"/>
          <w:lang w:eastAsia="en-US"/>
        </w:rPr>
        <w:t xml:space="preserve">Formulate and revise </w:t>
      </w:r>
      <w:r w:rsidR="0081626C">
        <w:rPr>
          <w:rFonts w:ascii="Calibri" w:eastAsia="Calibri" w:hAnsi="Calibri"/>
          <w:color w:val="0072CE"/>
          <w:szCs w:val="24"/>
          <w:lang w:eastAsia="en-US"/>
        </w:rPr>
        <w:t xml:space="preserve">Fire </w:t>
      </w:r>
      <w:r w:rsidR="00C81B10">
        <w:rPr>
          <w:rFonts w:ascii="Calibri" w:eastAsia="Calibri" w:hAnsi="Calibri"/>
          <w:color w:val="0072CE"/>
          <w:szCs w:val="24"/>
          <w:lang w:eastAsia="en-US"/>
        </w:rPr>
        <w:t>Management</w:t>
      </w:r>
      <w:r w:rsidR="0081626C">
        <w:rPr>
          <w:rFonts w:ascii="Calibri" w:eastAsia="Calibri" w:hAnsi="Calibri"/>
          <w:color w:val="0072CE"/>
          <w:szCs w:val="24"/>
          <w:lang w:eastAsia="en-US"/>
        </w:rPr>
        <w:t xml:space="preserve"> Plans.</w:t>
      </w:r>
      <w:r w:rsidRPr="00973BAA">
        <w:rPr>
          <w:rFonts w:ascii="Calibri" w:eastAsia="Calibri" w:hAnsi="Calibri"/>
          <w:color w:val="0072CE"/>
          <w:szCs w:val="24"/>
          <w:highlight w:val="yellow"/>
          <w:lang w:eastAsia="en-US"/>
        </w:rPr>
        <w:t xml:space="preserve"> </w:t>
      </w:r>
    </w:p>
    <w:p w14:paraId="7ECA30FE" w14:textId="3B57D4CD" w:rsidR="001F0504" w:rsidRDefault="001F0504" w:rsidP="00B12678">
      <w:pPr>
        <w:numPr>
          <w:ilvl w:val="0"/>
          <w:numId w:val="5"/>
        </w:numPr>
        <w:spacing w:after="200"/>
        <w:ind w:left="1134" w:hanging="283"/>
        <w:contextualSpacing/>
        <w:jc w:val="both"/>
        <w:rPr>
          <w:rFonts w:ascii="Calibri" w:eastAsia="Calibri" w:hAnsi="Calibri"/>
          <w:color w:val="0072CE"/>
          <w:szCs w:val="24"/>
          <w:lang w:eastAsia="en-US"/>
        </w:rPr>
      </w:pPr>
      <w:r w:rsidRPr="001F0504">
        <w:rPr>
          <w:rFonts w:ascii="Calibri" w:eastAsia="Calibri" w:hAnsi="Calibri"/>
          <w:color w:val="0072CE"/>
          <w:szCs w:val="24"/>
          <w:lang w:eastAsia="en-US"/>
        </w:rPr>
        <w:t xml:space="preserve">Ensure that actions arising from </w:t>
      </w:r>
      <w:r w:rsidR="00812DB0">
        <w:rPr>
          <w:rFonts w:ascii="Calibri" w:eastAsia="Calibri" w:hAnsi="Calibri"/>
          <w:color w:val="0072CE"/>
          <w:szCs w:val="24"/>
          <w:lang w:eastAsia="en-US"/>
        </w:rPr>
        <w:t xml:space="preserve">Compartmentation Surveys and </w:t>
      </w:r>
      <w:r w:rsidRPr="001F0504">
        <w:rPr>
          <w:rFonts w:ascii="Calibri" w:eastAsia="Calibri" w:hAnsi="Calibri"/>
          <w:color w:val="0072CE"/>
          <w:szCs w:val="24"/>
          <w:lang w:eastAsia="en-US"/>
        </w:rPr>
        <w:t>Fire Risk Assessments are completed</w:t>
      </w:r>
      <w:r w:rsidR="0087004A">
        <w:rPr>
          <w:rFonts w:ascii="Calibri" w:eastAsia="Calibri" w:hAnsi="Calibri"/>
          <w:color w:val="0072CE"/>
          <w:szCs w:val="24"/>
          <w:lang w:eastAsia="en-US"/>
        </w:rPr>
        <w:t>.</w:t>
      </w:r>
      <w:r w:rsidRPr="001F0504">
        <w:rPr>
          <w:rFonts w:ascii="Calibri" w:eastAsia="Calibri" w:hAnsi="Calibri"/>
          <w:color w:val="0072CE"/>
          <w:szCs w:val="24"/>
          <w:lang w:eastAsia="en-US"/>
        </w:rPr>
        <w:t xml:space="preserve"> </w:t>
      </w:r>
    </w:p>
    <w:p w14:paraId="2DC68007" w14:textId="72EAAA7D" w:rsidR="001F0504" w:rsidRPr="000F47FA" w:rsidRDefault="001F0504" w:rsidP="00B12678">
      <w:pPr>
        <w:numPr>
          <w:ilvl w:val="0"/>
          <w:numId w:val="5"/>
        </w:numPr>
        <w:spacing w:after="200"/>
        <w:ind w:left="1134" w:hanging="283"/>
        <w:contextualSpacing/>
        <w:jc w:val="both"/>
        <w:rPr>
          <w:rFonts w:ascii="Calibri" w:eastAsia="Calibri" w:hAnsi="Calibri"/>
          <w:szCs w:val="24"/>
          <w:lang w:eastAsia="en-US"/>
        </w:rPr>
      </w:pPr>
      <w:r w:rsidRPr="000F47FA">
        <w:rPr>
          <w:rFonts w:ascii="Calibri" w:eastAsia="Calibri" w:hAnsi="Calibri"/>
          <w:color w:val="0072CE"/>
          <w:szCs w:val="24"/>
          <w:lang w:eastAsia="en-US"/>
        </w:rPr>
        <w:t xml:space="preserve">Ensure </w:t>
      </w:r>
      <w:r w:rsidR="008200CD" w:rsidRPr="000F47FA">
        <w:rPr>
          <w:rFonts w:ascii="Calibri" w:eastAsia="Calibri" w:hAnsi="Calibri"/>
          <w:color w:val="0072CE"/>
          <w:szCs w:val="24"/>
          <w:lang w:eastAsia="en-US"/>
        </w:rPr>
        <w:t xml:space="preserve">fire </w:t>
      </w:r>
      <w:r w:rsidRPr="000F47FA">
        <w:rPr>
          <w:rFonts w:ascii="Calibri" w:eastAsia="Calibri" w:hAnsi="Calibri"/>
          <w:color w:val="0072CE"/>
          <w:szCs w:val="24"/>
          <w:lang w:eastAsia="en-US"/>
        </w:rPr>
        <w:t xml:space="preserve">related accidents and incidents are </w:t>
      </w:r>
      <w:r w:rsidR="00EB5732">
        <w:rPr>
          <w:rFonts w:ascii="Calibri" w:eastAsia="Calibri" w:hAnsi="Calibri"/>
          <w:color w:val="0072CE"/>
          <w:szCs w:val="24"/>
          <w:lang w:eastAsia="en-US"/>
        </w:rPr>
        <w:t xml:space="preserve">reviewed, </w:t>
      </w:r>
      <w:r w:rsidRPr="000F47FA">
        <w:rPr>
          <w:rFonts w:ascii="Calibri" w:eastAsia="Calibri" w:hAnsi="Calibri"/>
          <w:color w:val="0072CE"/>
          <w:szCs w:val="24"/>
          <w:lang w:eastAsia="en-US"/>
        </w:rPr>
        <w:t>reported, investigated and controls introduced to reduce the risk of such accidents recurring</w:t>
      </w:r>
      <w:r w:rsidR="0087004A">
        <w:rPr>
          <w:rFonts w:ascii="Calibri" w:eastAsia="Calibri" w:hAnsi="Calibri"/>
          <w:color w:val="0072CE"/>
          <w:szCs w:val="24"/>
          <w:lang w:eastAsia="en-US"/>
        </w:rPr>
        <w:t>.</w:t>
      </w:r>
      <w:r w:rsidR="00EB5732">
        <w:rPr>
          <w:rFonts w:ascii="Calibri" w:eastAsia="Calibri" w:hAnsi="Calibri"/>
          <w:szCs w:val="24"/>
          <w:lang w:eastAsia="en-US"/>
        </w:rPr>
        <w:t xml:space="preserve"> </w:t>
      </w:r>
    </w:p>
    <w:p w14:paraId="7A9388C3" w14:textId="6688E7AD" w:rsidR="00EB5732" w:rsidRDefault="00EB5732" w:rsidP="00B12678">
      <w:pPr>
        <w:numPr>
          <w:ilvl w:val="0"/>
          <w:numId w:val="5"/>
        </w:numPr>
        <w:spacing w:after="200"/>
        <w:ind w:left="1134" w:hanging="283"/>
        <w:contextualSpacing/>
        <w:jc w:val="both"/>
        <w:rPr>
          <w:rFonts w:ascii="Calibri" w:eastAsia="Calibri" w:hAnsi="Calibri"/>
          <w:color w:val="0072CE"/>
          <w:szCs w:val="24"/>
          <w:lang w:eastAsia="en-US"/>
        </w:rPr>
      </w:pPr>
      <w:r>
        <w:rPr>
          <w:rFonts w:ascii="Calibri" w:eastAsia="Calibri" w:hAnsi="Calibri"/>
          <w:color w:val="0072CE"/>
          <w:szCs w:val="24"/>
          <w:lang w:eastAsia="en-US"/>
        </w:rPr>
        <w:t>Serious incident fires must be investigated and notified to the Chief Executive. An incident report to be completed.</w:t>
      </w:r>
    </w:p>
    <w:p w14:paraId="332A5AD8" w14:textId="2F9B7991" w:rsidR="00811CC0" w:rsidRDefault="00811CC0" w:rsidP="00B12678">
      <w:pPr>
        <w:numPr>
          <w:ilvl w:val="0"/>
          <w:numId w:val="5"/>
        </w:numPr>
        <w:spacing w:after="200"/>
        <w:ind w:left="1134" w:hanging="283"/>
        <w:contextualSpacing/>
        <w:jc w:val="both"/>
        <w:rPr>
          <w:rFonts w:ascii="Calibri" w:eastAsia="Calibri" w:hAnsi="Calibri"/>
          <w:color w:val="0072CE"/>
          <w:szCs w:val="24"/>
          <w:lang w:eastAsia="en-US"/>
        </w:rPr>
      </w:pPr>
      <w:r w:rsidRPr="00AC2F8F">
        <w:rPr>
          <w:rFonts w:ascii="Calibri" w:eastAsia="Calibri" w:hAnsi="Calibri"/>
          <w:color w:val="0072CE"/>
          <w:szCs w:val="24"/>
          <w:lang w:eastAsia="en-US"/>
        </w:rPr>
        <w:t xml:space="preserve">Report to the Chief Executive and the Executive Leadership Team any material breach of the </w:t>
      </w:r>
      <w:r w:rsidR="0087004A">
        <w:rPr>
          <w:rFonts w:ascii="Calibri" w:eastAsia="Calibri" w:hAnsi="Calibri"/>
          <w:color w:val="0072CE"/>
          <w:szCs w:val="24"/>
          <w:lang w:eastAsia="en-US"/>
        </w:rPr>
        <w:t xml:space="preserve">Regulator of Social Housing’ </w:t>
      </w:r>
      <w:r w:rsidRPr="00AC2F8F">
        <w:rPr>
          <w:rFonts w:ascii="Calibri" w:eastAsia="Calibri" w:hAnsi="Calibri"/>
          <w:color w:val="0072CE"/>
          <w:szCs w:val="24"/>
          <w:lang w:eastAsia="en-US"/>
        </w:rPr>
        <w:t>Home Standard</w:t>
      </w:r>
      <w:r w:rsidR="0087004A">
        <w:rPr>
          <w:rFonts w:ascii="Calibri" w:eastAsia="Calibri" w:hAnsi="Calibri"/>
          <w:color w:val="0072CE"/>
          <w:szCs w:val="24"/>
          <w:lang w:eastAsia="en-US"/>
        </w:rPr>
        <w:t>.</w:t>
      </w:r>
    </w:p>
    <w:p w14:paraId="7AEBE330" w14:textId="67B6E682" w:rsidR="00811CC0" w:rsidRDefault="00811CC0" w:rsidP="00B12678">
      <w:pPr>
        <w:numPr>
          <w:ilvl w:val="0"/>
          <w:numId w:val="5"/>
        </w:numPr>
        <w:spacing w:after="200"/>
        <w:ind w:left="1134" w:hanging="283"/>
        <w:contextualSpacing/>
        <w:jc w:val="both"/>
        <w:rPr>
          <w:rFonts w:ascii="Calibri" w:eastAsia="Calibri" w:hAnsi="Calibri"/>
          <w:color w:val="0072CE"/>
          <w:szCs w:val="24"/>
          <w:lang w:eastAsia="en-US"/>
        </w:rPr>
      </w:pPr>
      <w:r w:rsidRPr="00811CC0">
        <w:rPr>
          <w:rFonts w:ascii="Calibri" w:eastAsia="Calibri" w:hAnsi="Calibri"/>
          <w:color w:val="0072CE"/>
          <w:szCs w:val="24"/>
          <w:lang w:eastAsia="en-US"/>
        </w:rPr>
        <w:lastRenderedPageBreak/>
        <w:t xml:space="preserve">Report to the Chief Executive and the Executive Leadership Team any breaches of </w:t>
      </w:r>
      <w:r w:rsidR="0087004A">
        <w:rPr>
          <w:rFonts w:ascii="Calibri" w:eastAsia="Calibri" w:hAnsi="Calibri"/>
          <w:color w:val="0072CE"/>
          <w:szCs w:val="24"/>
          <w:lang w:eastAsia="en-US"/>
        </w:rPr>
        <w:t>t</w:t>
      </w:r>
      <w:r w:rsidRPr="00811CC0">
        <w:rPr>
          <w:rFonts w:ascii="Calibri" w:eastAsia="Calibri" w:hAnsi="Calibri"/>
          <w:color w:val="0072CE"/>
          <w:szCs w:val="24"/>
          <w:lang w:eastAsia="en-US"/>
        </w:rPr>
        <w:t xml:space="preserve">he </w:t>
      </w:r>
      <w:r w:rsidR="00D212B5">
        <w:rPr>
          <w:rFonts w:ascii="Calibri" w:eastAsia="Calibri" w:hAnsi="Calibri"/>
          <w:color w:val="0072CE"/>
          <w:szCs w:val="24"/>
          <w:lang w:eastAsia="en-US"/>
        </w:rPr>
        <w:t>Fire Safety Act 2021</w:t>
      </w:r>
      <w:r w:rsidRPr="00811CC0">
        <w:rPr>
          <w:rFonts w:ascii="Calibri" w:eastAsia="Calibri" w:hAnsi="Calibri"/>
          <w:color w:val="0072CE"/>
          <w:szCs w:val="24"/>
          <w:lang w:eastAsia="en-US"/>
        </w:rPr>
        <w:t xml:space="preserve"> which may result in</w:t>
      </w:r>
      <w:r>
        <w:rPr>
          <w:rFonts w:ascii="Calibri" w:eastAsia="Calibri" w:hAnsi="Calibri"/>
          <w:color w:val="0072CE"/>
          <w:szCs w:val="24"/>
          <w:lang w:eastAsia="en-US"/>
        </w:rPr>
        <w:t xml:space="preserve"> enforcement or prosecution </w:t>
      </w:r>
      <w:r w:rsidR="005B4863">
        <w:rPr>
          <w:rFonts w:ascii="Calibri" w:eastAsia="Calibri" w:hAnsi="Calibri"/>
          <w:color w:val="0072CE"/>
          <w:szCs w:val="24"/>
          <w:lang w:eastAsia="en-US"/>
        </w:rPr>
        <w:t xml:space="preserve">by </w:t>
      </w:r>
      <w:r w:rsidR="00D212B5">
        <w:rPr>
          <w:rFonts w:ascii="Calibri" w:eastAsia="Calibri" w:hAnsi="Calibri"/>
          <w:color w:val="0072CE"/>
          <w:szCs w:val="24"/>
          <w:lang w:eastAsia="en-US"/>
        </w:rPr>
        <w:t xml:space="preserve">Building Safety Regulator and/or </w:t>
      </w:r>
      <w:r w:rsidR="005B4863">
        <w:rPr>
          <w:rFonts w:ascii="Calibri" w:eastAsia="Calibri" w:hAnsi="Calibri"/>
          <w:color w:val="0072CE"/>
          <w:szCs w:val="24"/>
          <w:lang w:eastAsia="en-US"/>
        </w:rPr>
        <w:t>the Fire and Rescue Services</w:t>
      </w:r>
      <w:r w:rsidR="0087004A">
        <w:rPr>
          <w:rFonts w:ascii="Calibri" w:eastAsia="Calibri" w:hAnsi="Calibri"/>
          <w:color w:val="0072CE"/>
          <w:szCs w:val="24"/>
          <w:lang w:eastAsia="en-US"/>
        </w:rPr>
        <w:t>.</w:t>
      </w:r>
    </w:p>
    <w:p w14:paraId="25A4A3C1" w14:textId="7F46E481" w:rsidR="001F0504" w:rsidRPr="001F0504" w:rsidRDefault="001F0504" w:rsidP="00B12678">
      <w:pPr>
        <w:numPr>
          <w:ilvl w:val="0"/>
          <w:numId w:val="5"/>
        </w:numPr>
        <w:spacing w:after="200"/>
        <w:ind w:left="1134" w:hanging="283"/>
        <w:contextualSpacing/>
        <w:jc w:val="both"/>
        <w:rPr>
          <w:rFonts w:ascii="Calibri" w:eastAsia="Calibri" w:hAnsi="Calibri"/>
          <w:color w:val="0072CE"/>
          <w:szCs w:val="24"/>
          <w:lang w:eastAsia="en-US"/>
        </w:rPr>
      </w:pPr>
      <w:r w:rsidRPr="001F0504">
        <w:rPr>
          <w:rFonts w:ascii="Calibri" w:eastAsia="Calibri" w:hAnsi="Calibri"/>
          <w:color w:val="0072CE"/>
          <w:szCs w:val="24"/>
          <w:lang w:eastAsia="en-US"/>
        </w:rPr>
        <w:t xml:space="preserve">Appoint a designated deputy (Head of </w:t>
      </w:r>
      <w:r w:rsidR="0087004A">
        <w:rPr>
          <w:rFonts w:ascii="Calibri" w:eastAsia="Calibri" w:hAnsi="Calibri"/>
          <w:color w:val="0072CE"/>
          <w:szCs w:val="24"/>
          <w:lang w:eastAsia="en-US"/>
        </w:rPr>
        <w:t xml:space="preserve">Asset Operations </w:t>
      </w:r>
      <w:r w:rsidRPr="001F0504">
        <w:rPr>
          <w:rFonts w:ascii="Calibri" w:eastAsia="Calibri" w:hAnsi="Calibri"/>
          <w:color w:val="0072CE"/>
          <w:szCs w:val="24"/>
          <w:lang w:eastAsia="en-US"/>
        </w:rPr>
        <w:t xml:space="preserve">– </w:t>
      </w:r>
      <w:r w:rsidR="0056753C">
        <w:rPr>
          <w:rFonts w:ascii="Calibri" w:eastAsia="Calibri" w:hAnsi="Calibri"/>
          <w:color w:val="0072CE"/>
          <w:szCs w:val="24"/>
          <w:lang w:eastAsia="en-US"/>
        </w:rPr>
        <w:t xml:space="preserve">Appointed </w:t>
      </w:r>
      <w:r w:rsidRPr="001F0504">
        <w:rPr>
          <w:rFonts w:ascii="Calibri" w:eastAsia="Calibri" w:hAnsi="Calibri"/>
          <w:color w:val="0072CE"/>
          <w:szCs w:val="24"/>
          <w:lang w:eastAsia="en-US"/>
        </w:rPr>
        <w:t>Responsible Person) to provide cover in their absence</w:t>
      </w:r>
      <w:r w:rsidR="0087004A">
        <w:rPr>
          <w:rFonts w:ascii="Calibri" w:eastAsia="Calibri" w:hAnsi="Calibri"/>
          <w:color w:val="0072CE"/>
          <w:szCs w:val="24"/>
          <w:lang w:eastAsia="en-US"/>
        </w:rPr>
        <w:t>.</w:t>
      </w:r>
      <w:r w:rsidRPr="001F0504">
        <w:rPr>
          <w:rFonts w:ascii="Calibri" w:eastAsia="Calibri" w:hAnsi="Calibri"/>
          <w:color w:val="0072CE"/>
          <w:szCs w:val="24"/>
          <w:lang w:eastAsia="en-US"/>
        </w:rPr>
        <w:t xml:space="preserve"> </w:t>
      </w:r>
    </w:p>
    <w:p w14:paraId="382AE02E" w14:textId="3AD04B63" w:rsidR="0087004A" w:rsidRPr="0087004A" w:rsidRDefault="001F0504" w:rsidP="00B12678">
      <w:pPr>
        <w:numPr>
          <w:ilvl w:val="0"/>
          <w:numId w:val="5"/>
        </w:numPr>
        <w:spacing w:after="200"/>
        <w:ind w:left="1134" w:hanging="283"/>
        <w:contextualSpacing/>
        <w:jc w:val="both"/>
        <w:rPr>
          <w:rFonts w:ascii="Calibri" w:eastAsia="Calibri" w:hAnsi="Calibri"/>
          <w:color w:val="0072CE"/>
          <w:sz w:val="22"/>
          <w:szCs w:val="22"/>
          <w:lang w:eastAsia="en-US"/>
        </w:rPr>
      </w:pPr>
      <w:r w:rsidRPr="0087004A">
        <w:rPr>
          <w:rFonts w:ascii="Calibri" w:eastAsia="Calibri" w:hAnsi="Calibri"/>
          <w:color w:val="0072CE"/>
          <w:szCs w:val="24"/>
          <w:lang w:eastAsia="en-US"/>
        </w:rPr>
        <w:t xml:space="preserve">Maintain an </w:t>
      </w:r>
      <w:r w:rsidR="00282841" w:rsidRPr="0087004A">
        <w:rPr>
          <w:rFonts w:ascii="Calibri" w:eastAsia="Calibri" w:hAnsi="Calibri"/>
          <w:color w:val="0072CE"/>
          <w:szCs w:val="24"/>
          <w:lang w:eastAsia="en-US"/>
        </w:rPr>
        <w:t>up-to-date</w:t>
      </w:r>
      <w:r w:rsidRPr="0087004A">
        <w:rPr>
          <w:rFonts w:ascii="Calibri" w:eastAsia="Calibri" w:hAnsi="Calibri"/>
          <w:color w:val="0072CE"/>
          <w:szCs w:val="24"/>
          <w:lang w:eastAsia="en-US"/>
        </w:rPr>
        <w:t xml:space="preserve"> knowledge of legislative requirements and best </w:t>
      </w:r>
      <w:r w:rsidR="0087004A">
        <w:rPr>
          <w:rFonts w:ascii="Calibri" w:eastAsia="Calibri" w:hAnsi="Calibri"/>
          <w:color w:val="0072CE"/>
          <w:szCs w:val="24"/>
          <w:lang w:eastAsia="en-US"/>
        </w:rPr>
        <w:t>practice.</w:t>
      </w:r>
    </w:p>
    <w:p w14:paraId="4E6FF035" w14:textId="534D5B15" w:rsidR="008200CD" w:rsidRPr="0056753C" w:rsidRDefault="008200CD" w:rsidP="00B12678">
      <w:pPr>
        <w:pStyle w:val="Style1"/>
        <w:spacing w:line="240" w:lineRule="auto"/>
        <w:rPr>
          <w:b/>
        </w:rPr>
      </w:pPr>
      <w:r w:rsidRPr="0056753C">
        <w:rPr>
          <w:b/>
        </w:rPr>
        <w:t xml:space="preserve">Head </w:t>
      </w:r>
      <w:r w:rsidR="001243EA" w:rsidRPr="0056753C">
        <w:rPr>
          <w:b/>
        </w:rPr>
        <w:t>Asset Operations</w:t>
      </w:r>
      <w:r w:rsidRPr="0056753C">
        <w:rPr>
          <w:b/>
        </w:rPr>
        <w:t xml:space="preserve"> ‘</w:t>
      </w:r>
      <w:r w:rsidR="00395CE3" w:rsidRPr="0056753C">
        <w:rPr>
          <w:b/>
        </w:rPr>
        <w:t xml:space="preserve">Appointed </w:t>
      </w:r>
      <w:r w:rsidRPr="0056753C">
        <w:rPr>
          <w:b/>
        </w:rPr>
        <w:t>Responsible Person’</w:t>
      </w:r>
    </w:p>
    <w:p w14:paraId="5132A0A2" w14:textId="08814645" w:rsidR="008200CD" w:rsidRDefault="008200CD" w:rsidP="00B12678">
      <w:pPr>
        <w:spacing w:before="120" w:after="120"/>
        <w:ind w:left="873"/>
        <w:jc w:val="both"/>
        <w:rPr>
          <w:rFonts w:ascii="Calibri" w:eastAsia="Calibri" w:hAnsi="Calibri"/>
          <w:color w:val="0072CE"/>
          <w:szCs w:val="24"/>
          <w:lang w:eastAsia="en-US"/>
        </w:rPr>
      </w:pPr>
      <w:r w:rsidRPr="008200CD">
        <w:rPr>
          <w:rFonts w:ascii="Calibri" w:eastAsia="Calibri" w:hAnsi="Calibri"/>
          <w:color w:val="0072CE"/>
          <w:szCs w:val="24"/>
          <w:lang w:eastAsia="en-US"/>
        </w:rPr>
        <w:t>The ‘</w:t>
      </w:r>
      <w:r w:rsidR="00395CE3">
        <w:rPr>
          <w:rFonts w:ascii="Calibri" w:eastAsia="Calibri" w:hAnsi="Calibri"/>
          <w:color w:val="0072CE"/>
          <w:szCs w:val="24"/>
          <w:lang w:eastAsia="en-US"/>
        </w:rPr>
        <w:t xml:space="preserve">Appointed </w:t>
      </w:r>
      <w:r w:rsidRPr="008200CD">
        <w:rPr>
          <w:rFonts w:ascii="Calibri" w:eastAsia="Calibri" w:hAnsi="Calibri"/>
          <w:color w:val="0072CE"/>
          <w:szCs w:val="24"/>
          <w:lang w:eastAsia="en-US"/>
        </w:rPr>
        <w:t xml:space="preserve">Responsible Person’ is the Head of </w:t>
      </w:r>
      <w:r w:rsidR="001243EA">
        <w:rPr>
          <w:rFonts w:ascii="Calibri" w:eastAsia="Calibri" w:hAnsi="Calibri"/>
          <w:color w:val="0072CE"/>
          <w:szCs w:val="24"/>
          <w:lang w:eastAsia="en-US"/>
        </w:rPr>
        <w:t>Asset Operations</w:t>
      </w:r>
      <w:r w:rsidRPr="008200CD">
        <w:rPr>
          <w:rFonts w:ascii="Calibri" w:eastAsia="Calibri" w:hAnsi="Calibri"/>
          <w:color w:val="0072CE"/>
          <w:szCs w:val="24"/>
          <w:lang w:eastAsia="en-US"/>
        </w:rPr>
        <w:t xml:space="preserve"> who with the support of the </w:t>
      </w:r>
      <w:r w:rsidR="001243EA">
        <w:rPr>
          <w:rFonts w:ascii="Calibri" w:eastAsia="Calibri" w:hAnsi="Calibri"/>
          <w:color w:val="0072CE"/>
          <w:szCs w:val="24"/>
          <w:lang w:eastAsia="en-US"/>
        </w:rPr>
        <w:t>Compliance Officer</w:t>
      </w:r>
      <w:r w:rsidRPr="008200CD">
        <w:rPr>
          <w:rFonts w:ascii="Calibri" w:eastAsia="Calibri" w:hAnsi="Calibri"/>
          <w:color w:val="0072CE"/>
          <w:szCs w:val="24"/>
          <w:lang w:eastAsia="en-US"/>
        </w:rPr>
        <w:t xml:space="preserve"> </w:t>
      </w:r>
      <w:r w:rsidR="00764648">
        <w:rPr>
          <w:rFonts w:ascii="Calibri" w:eastAsia="Calibri" w:hAnsi="Calibri"/>
          <w:color w:val="0072CE"/>
          <w:szCs w:val="24"/>
          <w:lang w:eastAsia="en-US"/>
        </w:rPr>
        <w:t>(the Building Safety Manager</w:t>
      </w:r>
      <w:r w:rsidR="009C74EA">
        <w:rPr>
          <w:rFonts w:ascii="Calibri" w:eastAsia="Calibri" w:hAnsi="Calibri"/>
          <w:color w:val="0072CE"/>
          <w:szCs w:val="24"/>
          <w:lang w:eastAsia="en-US"/>
        </w:rPr>
        <w:t xml:space="preserve"> unless stated as someone else in the Fire Management Plan</w:t>
      </w:r>
      <w:r w:rsidR="00764648">
        <w:rPr>
          <w:rFonts w:ascii="Calibri" w:eastAsia="Calibri" w:hAnsi="Calibri"/>
          <w:color w:val="0072CE"/>
          <w:szCs w:val="24"/>
          <w:lang w:eastAsia="en-US"/>
        </w:rPr>
        <w:t xml:space="preserve">) </w:t>
      </w:r>
      <w:r w:rsidRPr="008200CD">
        <w:rPr>
          <w:rFonts w:ascii="Calibri" w:eastAsia="Calibri" w:hAnsi="Calibri"/>
          <w:color w:val="0072CE"/>
          <w:szCs w:val="24"/>
          <w:lang w:eastAsia="en-US"/>
        </w:rPr>
        <w:t>is</w:t>
      </w:r>
      <w:r>
        <w:rPr>
          <w:rFonts w:ascii="Calibri" w:eastAsia="Calibri" w:hAnsi="Calibri"/>
          <w:color w:val="0072CE"/>
          <w:szCs w:val="24"/>
          <w:lang w:eastAsia="en-US"/>
        </w:rPr>
        <w:t xml:space="preserve"> </w:t>
      </w:r>
      <w:r w:rsidRPr="008200CD">
        <w:rPr>
          <w:rFonts w:ascii="Calibri" w:eastAsia="Calibri" w:hAnsi="Calibri"/>
          <w:color w:val="0072CE"/>
          <w:szCs w:val="24"/>
          <w:lang w:eastAsia="en-US"/>
        </w:rPr>
        <w:t xml:space="preserve">responsible for the </w:t>
      </w:r>
      <w:r w:rsidR="001243EA" w:rsidRPr="008200CD">
        <w:rPr>
          <w:rFonts w:ascii="Calibri" w:eastAsia="Calibri" w:hAnsi="Calibri"/>
          <w:color w:val="0072CE"/>
          <w:szCs w:val="24"/>
          <w:lang w:eastAsia="en-US"/>
        </w:rPr>
        <w:t>day-to-day</w:t>
      </w:r>
      <w:r w:rsidRPr="008200CD">
        <w:rPr>
          <w:rFonts w:ascii="Calibri" w:eastAsia="Calibri" w:hAnsi="Calibri"/>
          <w:color w:val="0072CE"/>
          <w:szCs w:val="24"/>
          <w:lang w:eastAsia="en-US"/>
        </w:rPr>
        <w:t xml:space="preserve"> running and implementation of the </w:t>
      </w:r>
      <w:r w:rsidR="00E4749C">
        <w:rPr>
          <w:rFonts w:ascii="Calibri" w:eastAsia="Calibri" w:hAnsi="Calibri"/>
          <w:color w:val="0072CE"/>
          <w:szCs w:val="24"/>
          <w:lang w:eastAsia="en-US"/>
        </w:rPr>
        <w:t xml:space="preserve">Fire </w:t>
      </w:r>
      <w:r>
        <w:rPr>
          <w:rFonts w:ascii="Calibri" w:eastAsia="Calibri" w:hAnsi="Calibri"/>
          <w:color w:val="0072CE"/>
          <w:szCs w:val="24"/>
          <w:lang w:eastAsia="en-US"/>
        </w:rPr>
        <w:t>M</w:t>
      </w:r>
      <w:r w:rsidRPr="008200CD">
        <w:rPr>
          <w:rFonts w:ascii="Calibri" w:eastAsia="Calibri" w:hAnsi="Calibri"/>
          <w:color w:val="0072CE"/>
          <w:szCs w:val="24"/>
          <w:lang w:eastAsia="en-US"/>
        </w:rPr>
        <w:t>anagement Plan</w:t>
      </w:r>
      <w:r w:rsidR="00E4749C">
        <w:rPr>
          <w:rFonts w:ascii="Calibri" w:eastAsia="Calibri" w:hAnsi="Calibri"/>
          <w:color w:val="0072CE"/>
          <w:szCs w:val="24"/>
          <w:lang w:eastAsia="en-US"/>
        </w:rPr>
        <w:t>s</w:t>
      </w:r>
      <w:r w:rsidRPr="008200CD">
        <w:rPr>
          <w:rFonts w:ascii="Calibri" w:eastAsia="Calibri" w:hAnsi="Calibri"/>
          <w:color w:val="0072CE"/>
          <w:szCs w:val="24"/>
          <w:lang w:eastAsia="en-US"/>
        </w:rPr>
        <w:t>, and they will</w:t>
      </w:r>
      <w:r w:rsidR="009C74EA">
        <w:rPr>
          <w:rFonts w:ascii="Calibri" w:eastAsia="Calibri" w:hAnsi="Calibri"/>
          <w:color w:val="0072CE"/>
          <w:szCs w:val="24"/>
          <w:lang w:eastAsia="en-US"/>
        </w:rPr>
        <w:t xml:space="preserve"> promote openness, trust and collaboration with residents fundamental to keeping buildings safe</w:t>
      </w:r>
      <w:r w:rsidRPr="008200CD">
        <w:rPr>
          <w:rFonts w:ascii="Calibri" w:eastAsia="Calibri" w:hAnsi="Calibri"/>
          <w:color w:val="0072CE"/>
          <w:szCs w:val="24"/>
          <w:lang w:eastAsia="en-US"/>
        </w:rPr>
        <w:t xml:space="preserve">: </w:t>
      </w:r>
    </w:p>
    <w:p w14:paraId="7B4957B6" w14:textId="77777777" w:rsidR="008200CD" w:rsidRPr="008200CD" w:rsidRDefault="008200CD" w:rsidP="00B12678">
      <w:pPr>
        <w:numPr>
          <w:ilvl w:val="0"/>
          <w:numId w:val="5"/>
        </w:numPr>
        <w:spacing w:after="200"/>
        <w:ind w:left="1134" w:hanging="283"/>
        <w:contextualSpacing/>
        <w:jc w:val="both"/>
        <w:rPr>
          <w:rFonts w:ascii="Calibri" w:eastAsia="Calibri" w:hAnsi="Calibri"/>
          <w:color w:val="0072CE"/>
          <w:szCs w:val="24"/>
          <w:lang w:eastAsia="en-US"/>
        </w:rPr>
      </w:pPr>
      <w:r w:rsidRPr="008200CD">
        <w:rPr>
          <w:rFonts w:ascii="Calibri" w:eastAsia="Calibri" w:hAnsi="Calibri"/>
          <w:color w:val="0072CE"/>
          <w:szCs w:val="24"/>
          <w:lang w:eastAsia="en-US"/>
        </w:rPr>
        <w:t>Provide advice on the application of this policy on an individual case by case basis</w:t>
      </w:r>
      <w:r w:rsidR="0087004A">
        <w:rPr>
          <w:rFonts w:ascii="Calibri" w:eastAsia="Calibri" w:hAnsi="Calibri"/>
          <w:color w:val="0072CE"/>
          <w:szCs w:val="24"/>
          <w:lang w:eastAsia="en-US"/>
        </w:rPr>
        <w:t>.</w:t>
      </w:r>
    </w:p>
    <w:p w14:paraId="47B6D8A1" w14:textId="3CD977FE" w:rsidR="008200CD" w:rsidRPr="008200CD" w:rsidRDefault="008200CD" w:rsidP="00B12678">
      <w:pPr>
        <w:numPr>
          <w:ilvl w:val="0"/>
          <w:numId w:val="5"/>
        </w:numPr>
        <w:spacing w:after="200"/>
        <w:ind w:left="1134" w:hanging="283"/>
        <w:contextualSpacing/>
        <w:jc w:val="both"/>
        <w:rPr>
          <w:rFonts w:ascii="Calibri" w:eastAsia="Calibri" w:hAnsi="Calibri"/>
          <w:color w:val="0072CE"/>
          <w:szCs w:val="24"/>
          <w:lang w:eastAsia="en-US"/>
        </w:rPr>
      </w:pPr>
      <w:r w:rsidRPr="008200CD">
        <w:rPr>
          <w:rFonts w:ascii="Calibri" w:eastAsia="Calibri" w:hAnsi="Calibri"/>
          <w:color w:val="0072CE"/>
          <w:szCs w:val="24"/>
          <w:lang w:eastAsia="en-US"/>
        </w:rPr>
        <w:t xml:space="preserve">Ensure that the required information from </w:t>
      </w:r>
      <w:r>
        <w:rPr>
          <w:rFonts w:ascii="Calibri" w:eastAsia="Calibri" w:hAnsi="Calibri"/>
          <w:color w:val="0072CE"/>
          <w:szCs w:val="24"/>
          <w:lang w:eastAsia="en-US"/>
        </w:rPr>
        <w:t>fire risk</w:t>
      </w:r>
      <w:r w:rsidRPr="008200CD">
        <w:rPr>
          <w:rFonts w:ascii="Calibri" w:eastAsia="Calibri" w:hAnsi="Calibri"/>
          <w:color w:val="0072CE"/>
          <w:szCs w:val="24"/>
          <w:lang w:eastAsia="en-US"/>
        </w:rPr>
        <w:t xml:space="preserve"> related </w:t>
      </w:r>
      <w:r w:rsidR="009C74EA">
        <w:rPr>
          <w:rFonts w:ascii="Calibri" w:eastAsia="Calibri" w:hAnsi="Calibri"/>
          <w:color w:val="0072CE"/>
          <w:szCs w:val="24"/>
          <w:lang w:eastAsia="en-US"/>
        </w:rPr>
        <w:t xml:space="preserve">assessments, inspections or </w:t>
      </w:r>
      <w:r w:rsidRPr="008200CD">
        <w:rPr>
          <w:rFonts w:ascii="Calibri" w:eastAsia="Calibri" w:hAnsi="Calibri"/>
          <w:color w:val="0072CE"/>
          <w:szCs w:val="24"/>
          <w:lang w:eastAsia="en-US"/>
        </w:rPr>
        <w:t xml:space="preserve">work is fed back to the </w:t>
      </w:r>
      <w:r w:rsidR="00764648">
        <w:rPr>
          <w:rFonts w:ascii="Calibri" w:eastAsia="Calibri" w:hAnsi="Calibri"/>
          <w:color w:val="0072CE"/>
          <w:szCs w:val="24"/>
          <w:lang w:eastAsia="en-US"/>
        </w:rPr>
        <w:t>Building Safety M</w:t>
      </w:r>
      <w:r w:rsidRPr="008200CD">
        <w:rPr>
          <w:rFonts w:ascii="Calibri" w:eastAsia="Calibri" w:hAnsi="Calibri"/>
          <w:color w:val="0072CE"/>
          <w:szCs w:val="24"/>
          <w:lang w:eastAsia="en-US"/>
        </w:rPr>
        <w:t>anager</w:t>
      </w:r>
      <w:r w:rsidR="0087004A">
        <w:rPr>
          <w:rFonts w:ascii="Calibri" w:eastAsia="Calibri" w:hAnsi="Calibri"/>
          <w:color w:val="0072CE"/>
          <w:szCs w:val="24"/>
          <w:lang w:eastAsia="en-US"/>
        </w:rPr>
        <w:t>.</w:t>
      </w:r>
      <w:r w:rsidRPr="008200CD">
        <w:rPr>
          <w:rFonts w:ascii="Calibri" w:eastAsia="Calibri" w:hAnsi="Calibri"/>
          <w:color w:val="0072CE"/>
          <w:szCs w:val="24"/>
          <w:lang w:eastAsia="en-US"/>
        </w:rPr>
        <w:t xml:space="preserve"> </w:t>
      </w:r>
    </w:p>
    <w:p w14:paraId="4CA1678A" w14:textId="786EB9EA" w:rsidR="008200CD" w:rsidRDefault="008200CD" w:rsidP="00B12678">
      <w:pPr>
        <w:numPr>
          <w:ilvl w:val="0"/>
          <w:numId w:val="5"/>
        </w:numPr>
        <w:spacing w:after="200"/>
        <w:ind w:left="1134" w:hanging="283"/>
        <w:contextualSpacing/>
        <w:jc w:val="both"/>
        <w:rPr>
          <w:rFonts w:ascii="Calibri" w:eastAsia="Calibri" w:hAnsi="Calibri"/>
          <w:color w:val="0072CE"/>
          <w:szCs w:val="24"/>
          <w:lang w:eastAsia="en-US"/>
        </w:rPr>
      </w:pPr>
      <w:r w:rsidRPr="008200CD">
        <w:rPr>
          <w:rFonts w:ascii="Calibri" w:eastAsia="Calibri" w:hAnsi="Calibri"/>
          <w:color w:val="0072CE"/>
          <w:szCs w:val="24"/>
          <w:lang w:eastAsia="en-US"/>
        </w:rPr>
        <w:t>Ensure that</w:t>
      </w:r>
      <w:r w:rsidR="00957522">
        <w:rPr>
          <w:rFonts w:ascii="Calibri" w:eastAsia="Calibri" w:hAnsi="Calibri"/>
          <w:color w:val="0072CE"/>
          <w:szCs w:val="24"/>
          <w:lang w:eastAsia="en-US"/>
        </w:rPr>
        <w:t xml:space="preserve"> a regime of inspections and checks in</w:t>
      </w:r>
      <w:r w:rsidRPr="008200CD">
        <w:rPr>
          <w:rFonts w:ascii="Calibri" w:eastAsia="Calibri" w:hAnsi="Calibri"/>
          <w:color w:val="0072CE"/>
          <w:szCs w:val="24"/>
          <w:lang w:eastAsia="en-US"/>
        </w:rPr>
        <w:t xml:space="preserve"> </w:t>
      </w:r>
      <w:r w:rsidRPr="0081626C">
        <w:rPr>
          <w:rFonts w:ascii="Calibri" w:eastAsia="Calibri" w:hAnsi="Calibri"/>
          <w:color w:val="0072CE"/>
          <w:szCs w:val="24"/>
          <w:lang w:eastAsia="en-US"/>
        </w:rPr>
        <w:t>c</w:t>
      </w:r>
      <w:r w:rsidR="001243EA" w:rsidRPr="0081626C">
        <w:rPr>
          <w:rFonts w:ascii="Calibri" w:eastAsia="Calibri" w:hAnsi="Calibri"/>
          <w:color w:val="0072CE"/>
          <w:szCs w:val="24"/>
          <w:lang w:eastAsia="en-US"/>
        </w:rPr>
        <w:t>ommon</w:t>
      </w:r>
      <w:r w:rsidRPr="0081626C">
        <w:rPr>
          <w:rFonts w:ascii="Calibri" w:eastAsia="Calibri" w:hAnsi="Calibri"/>
          <w:color w:val="0072CE"/>
          <w:szCs w:val="24"/>
          <w:lang w:eastAsia="en-US"/>
        </w:rPr>
        <w:t xml:space="preserve"> areas</w:t>
      </w:r>
      <w:r w:rsidRPr="008200CD">
        <w:rPr>
          <w:rFonts w:ascii="Calibri" w:eastAsia="Calibri" w:hAnsi="Calibri"/>
          <w:color w:val="0072CE"/>
          <w:szCs w:val="24"/>
          <w:lang w:eastAsia="en-US"/>
        </w:rPr>
        <w:t xml:space="preserve"> within the stock are monitored in accordance with legislative requirements</w:t>
      </w:r>
      <w:r w:rsidR="0087004A">
        <w:rPr>
          <w:rFonts w:ascii="Calibri" w:eastAsia="Calibri" w:hAnsi="Calibri"/>
          <w:color w:val="0072CE"/>
          <w:szCs w:val="24"/>
          <w:lang w:eastAsia="en-US"/>
        </w:rPr>
        <w:t>.</w:t>
      </w:r>
      <w:r w:rsidRPr="008200CD">
        <w:rPr>
          <w:rFonts w:ascii="Calibri" w:eastAsia="Calibri" w:hAnsi="Calibri"/>
          <w:color w:val="0072CE"/>
          <w:szCs w:val="24"/>
          <w:lang w:eastAsia="en-US"/>
        </w:rPr>
        <w:t xml:space="preserve"> </w:t>
      </w:r>
    </w:p>
    <w:p w14:paraId="670DE4CF" w14:textId="59671B27" w:rsidR="0087004A" w:rsidRPr="00257CF9" w:rsidRDefault="00D963AD" w:rsidP="00B12678">
      <w:pPr>
        <w:numPr>
          <w:ilvl w:val="0"/>
          <w:numId w:val="5"/>
        </w:numPr>
        <w:spacing w:after="200"/>
        <w:ind w:left="1134" w:hanging="283"/>
        <w:contextualSpacing/>
        <w:jc w:val="both"/>
        <w:rPr>
          <w:rFonts w:ascii="Calibri" w:eastAsia="Calibri" w:hAnsi="Calibri"/>
          <w:color w:val="0072CE"/>
          <w:szCs w:val="24"/>
          <w:lang w:eastAsia="en-US"/>
        </w:rPr>
      </w:pPr>
      <w:r w:rsidRPr="0087004A">
        <w:rPr>
          <w:rFonts w:ascii="Calibri" w:eastAsia="Calibri" w:hAnsi="Calibri"/>
          <w:color w:val="0072CE"/>
          <w:szCs w:val="24"/>
          <w:lang w:eastAsia="en-US"/>
        </w:rPr>
        <w:t xml:space="preserve">Ensure that weekly and </w:t>
      </w:r>
      <w:r w:rsidR="005837A0" w:rsidRPr="0087004A">
        <w:rPr>
          <w:rFonts w:ascii="Calibri" w:eastAsia="Calibri" w:hAnsi="Calibri"/>
          <w:color w:val="0072CE"/>
          <w:szCs w:val="24"/>
          <w:lang w:eastAsia="en-US"/>
        </w:rPr>
        <w:t>monthly inspection and testing regime</w:t>
      </w:r>
      <w:r w:rsidRPr="0087004A">
        <w:rPr>
          <w:rFonts w:ascii="Calibri" w:eastAsia="Calibri" w:hAnsi="Calibri"/>
          <w:color w:val="0072CE"/>
          <w:szCs w:val="24"/>
          <w:lang w:eastAsia="en-US"/>
        </w:rPr>
        <w:t xml:space="preserve">s </w:t>
      </w:r>
      <w:r w:rsidR="00E2089B">
        <w:rPr>
          <w:rFonts w:ascii="Calibri" w:eastAsia="Calibri" w:hAnsi="Calibri"/>
          <w:color w:val="0072CE"/>
          <w:szCs w:val="24"/>
          <w:lang w:eastAsia="en-US"/>
        </w:rPr>
        <w:t xml:space="preserve">in addition to the cyclical contractor servicing programme </w:t>
      </w:r>
      <w:r w:rsidRPr="0087004A">
        <w:rPr>
          <w:rFonts w:ascii="Calibri" w:eastAsia="Calibri" w:hAnsi="Calibri"/>
          <w:color w:val="0072CE"/>
          <w:szCs w:val="24"/>
          <w:lang w:eastAsia="en-US"/>
        </w:rPr>
        <w:t>are maintained to the</w:t>
      </w:r>
      <w:r w:rsidR="001A24D0">
        <w:rPr>
          <w:rFonts w:ascii="Calibri" w:eastAsia="Calibri" w:hAnsi="Calibri"/>
          <w:color w:val="0072CE"/>
          <w:szCs w:val="24"/>
          <w:lang w:eastAsia="en-US"/>
        </w:rPr>
        <w:t xml:space="preserve"> common</w:t>
      </w:r>
      <w:r w:rsidR="005837A0" w:rsidRPr="0087004A">
        <w:rPr>
          <w:rFonts w:ascii="Calibri" w:eastAsia="Calibri" w:hAnsi="Calibri"/>
          <w:color w:val="0072CE"/>
          <w:szCs w:val="24"/>
          <w:lang w:eastAsia="en-US"/>
        </w:rPr>
        <w:t xml:space="preserve"> areas </w:t>
      </w:r>
      <w:r w:rsidR="00957522">
        <w:rPr>
          <w:rFonts w:ascii="Calibri" w:eastAsia="Calibri" w:hAnsi="Calibri"/>
          <w:color w:val="0072CE"/>
          <w:szCs w:val="24"/>
          <w:lang w:eastAsia="en-US"/>
        </w:rPr>
        <w:t xml:space="preserve"> </w:t>
      </w:r>
    </w:p>
    <w:p w14:paraId="0FEA166C" w14:textId="77777777" w:rsidR="002B0C0A" w:rsidRDefault="008200CD" w:rsidP="00B12678">
      <w:pPr>
        <w:numPr>
          <w:ilvl w:val="0"/>
          <w:numId w:val="5"/>
        </w:numPr>
        <w:spacing w:after="200"/>
        <w:ind w:left="1134" w:hanging="283"/>
        <w:contextualSpacing/>
        <w:jc w:val="both"/>
        <w:rPr>
          <w:rFonts w:ascii="Calibri" w:eastAsia="Calibri" w:hAnsi="Calibri"/>
          <w:color w:val="0072CE"/>
          <w:szCs w:val="24"/>
          <w:lang w:eastAsia="en-US"/>
        </w:rPr>
      </w:pPr>
      <w:r w:rsidRPr="008200CD">
        <w:rPr>
          <w:rFonts w:ascii="Calibri" w:eastAsia="Calibri" w:hAnsi="Calibri"/>
          <w:color w:val="0072CE"/>
          <w:szCs w:val="24"/>
          <w:lang w:eastAsia="en-US"/>
        </w:rPr>
        <w:t xml:space="preserve">Provide </w:t>
      </w:r>
      <w:r>
        <w:rPr>
          <w:rFonts w:ascii="Calibri" w:eastAsia="Calibri" w:hAnsi="Calibri"/>
          <w:color w:val="0072CE"/>
          <w:szCs w:val="24"/>
          <w:lang w:eastAsia="en-US"/>
        </w:rPr>
        <w:t xml:space="preserve">fire safety </w:t>
      </w:r>
      <w:r w:rsidRPr="008200CD">
        <w:rPr>
          <w:rFonts w:ascii="Calibri" w:eastAsia="Calibri" w:hAnsi="Calibri"/>
          <w:color w:val="0072CE"/>
          <w:szCs w:val="24"/>
          <w:lang w:eastAsia="en-US"/>
        </w:rPr>
        <w:t>related information to staff, contractors, tenants and members of the public as required</w:t>
      </w:r>
      <w:r w:rsidR="009C7AC7">
        <w:rPr>
          <w:rFonts w:ascii="Calibri" w:eastAsia="Calibri" w:hAnsi="Calibri"/>
          <w:color w:val="0072CE"/>
          <w:szCs w:val="24"/>
          <w:lang w:eastAsia="en-US"/>
        </w:rPr>
        <w:t>.</w:t>
      </w:r>
    </w:p>
    <w:p w14:paraId="3F294C24" w14:textId="7DEB0028" w:rsidR="00D40D60" w:rsidRDefault="002B0C0A" w:rsidP="00B12678">
      <w:pPr>
        <w:numPr>
          <w:ilvl w:val="0"/>
          <w:numId w:val="5"/>
        </w:numPr>
        <w:spacing w:after="200"/>
        <w:ind w:left="1134" w:hanging="283"/>
        <w:contextualSpacing/>
        <w:jc w:val="both"/>
        <w:rPr>
          <w:rFonts w:ascii="Calibri" w:eastAsia="Calibri" w:hAnsi="Calibri"/>
          <w:color w:val="0072CE"/>
          <w:szCs w:val="24"/>
          <w:lang w:eastAsia="en-US"/>
        </w:rPr>
      </w:pPr>
      <w:r>
        <w:rPr>
          <w:rFonts w:ascii="Calibri" w:eastAsia="Calibri" w:hAnsi="Calibri"/>
          <w:color w:val="0072CE"/>
          <w:szCs w:val="24"/>
          <w:lang w:eastAsia="en-US"/>
        </w:rPr>
        <w:t>Carry out</w:t>
      </w:r>
      <w:r w:rsidR="008C312C">
        <w:rPr>
          <w:rFonts w:ascii="Calibri" w:eastAsia="Calibri" w:hAnsi="Calibri"/>
          <w:color w:val="0072CE"/>
          <w:szCs w:val="24"/>
          <w:lang w:eastAsia="en-US"/>
        </w:rPr>
        <w:t xml:space="preserve"> PEEPS</w:t>
      </w:r>
      <w:r>
        <w:rPr>
          <w:rFonts w:ascii="Calibri" w:eastAsia="Calibri" w:hAnsi="Calibri"/>
          <w:color w:val="0072CE"/>
          <w:szCs w:val="24"/>
          <w:lang w:eastAsia="en-US"/>
        </w:rPr>
        <w:t xml:space="preserve"> in line with code of practice from the Fire Safety Act 2021</w:t>
      </w:r>
      <w:r w:rsidR="008C312C">
        <w:rPr>
          <w:rFonts w:ascii="Calibri" w:eastAsia="Calibri" w:hAnsi="Calibri"/>
          <w:color w:val="0072CE"/>
          <w:szCs w:val="24"/>
          <w:lang w:eastAsia="en-US"/>
        </w:rPr>
        <w:t xml:space="preserve"> for </w:t>
      </w:r>
      <w:r w:rsidR="00C604EE">
        <w:rPr>
          <w:rFonts w:ascii="Calibri" w:eastAsia="Calibri" w:hAnsi="Calibri"/>
          <w:color w:val="0072CE"/>
          <w:szCs w:val="24"/>
          <w:lang w:eastAsia="en-US"/>
        </w:rPr>
        <w:t>residents</w:t>
      </w:r>
      <w:r>
        <w:rPr>
          <w:rFonts w:ascii="Calibri" w:eastAsia="Calibri" w:hAnsi="Calibri"/>
          <w:color w:val="0072CE"/>
          <w:szCs w:val="24"/>
          <w:lang w:eastAsia="en-US"/>
        </w:rPr>
        <w:t xml:space="preserve"> expected later this year</w:t>
      </w:r>
      <w:r w:rsidR="00C604EE">
        <w:rPr>
          <w:rFonts w:ascii="Calibri" w:eastAsia="Calibri" w:hAnsi="Calibri"/>
          <w:color w:val="0072CE"/>
          <w:szCs w:val="24"/>
          <w:lang w:eastAsia="en-US"/>
        </w:rPr>
        <w:t>;</w:t>
      </w:r>
      <w:r>
        <w:rPr>
          <w:rFonts w:ascii="Calibri" w:eastAsia="Calibri" w:hAnsi="Calibri"/>
          <w:color w:val="0072CE"/>
          <w:szCs w:val="24"/>
          <w:lang w:eastAsia="en-US"/>
        </w:rPr>
        <w:t xml:space="preserve"> in the meantime, all tenants in a block will have a pro-forma PEEPS assessment at point of letting and an annual review. Details of PEEPS assessment will be managed and monitored on the integrated housing management system (</w:t>
      </w:r>
      <w:proofErr w:type="spellStart"/>
      <w:r>
        <w:rPr>
          <w:rFonts w:ascii="Calibri" w:eastAsia="Calibri" w:hAnsi="Calibri"/>
          <w:color w:val="0072CE"/>
          <w:szCs w:val="24"/>
          <w:lang w:eastAsia="en-US"/>
        </w:rPr>
        <w:t>ActiveH</w:t>
      </w:r>
      <w:proofErr w:type="spellEnd"/>
      <w:r>
        <w:rPr>
          <w:rFonts w:ascii="Calibri" w:eastAsia="Calibri" w:hAnsi="Calibri"/>
          <w:color w:val="0072CE"/>
          <w:szCs w:val="24"/>
          <w:lang w:eastAsia="en-US"/>
        </w:rPr>
        <w:t xml:space="preserve">) and GDPR compliant information provided in </w:t>
      </w:r>
      <w:r w:rsidR="00361FF5">
        <w:rPr>
          <w:rFonts w:ascii="Calibri" w:eastAsia="Calibri" w:hAnsi="Calibri"/>
          <w:color w:val="0072CE"/>
          <w:szCs w:val="24"/>
          <w:lang w:eastAsia="en-US"/>
        </w:rPr>
        <w:t xml:space="preserve">premises information </w:t>
      </w:r>
      <w:r>
        <w:rPr>
          <w:rFonts w:ascii="Calibri" w:eastAsia="Calibri" w:hAnsi="Calibri"/>
          <w:color w:val="0072CE"/>
          <w:szCs w:val="24"/>
          <w:lang w:eastAsia="en-US"/>
        </w:rPr>
        <w:t>box in blocks where residents require assistance for evacuation.</w:t>
      </w:r>
    </w:p>
    <w:p w14:paraId="0EFD485E" w14:textId="77777777" w:rsidR="008200CD" w:rsidRPr="008200CD" w:rsidRDefault="008200CD" w:rsidP="00B12678">
      <w:pPr>
        <w:numPr>
          <w:ilvl w:val="0"/>
          <w:numId w:val="5"/>
        </w:numPr>
        <w:spacing w:after="200"/>
        <w:ind w:left="1134" w:hanging="283"/>
        <w:contextualSpacing/>
        <w:jc w:val="both"/>
        <w:rPr>
          <w:rFonts w:ascii="Calibri" w:eastAsia="Calibri" w:hAnsi="Calibri"/>
          <w:color w:val="0072CE"/>
          <w:szCs w:val="24"/>
          <w:lang w:eastAsia="en-US"/>
        </w:rPr>
      </w:pPr>
      <w:r w:rsidRPr="008200CD">
        <w:rPr>
          <w:rFonts w:ascii="Calibri" w:eastAsia="Calibri" w:hAnsi="Calibri"/>
          <w:color w:val="0072CE"/>
          <w:szCs w:val="24"/>
          <w:lang w:eastAsia="en-US"/>
        </w:rPr>
        <w:t>Appoint a designated deputy as appropriate to provide cover in their absence</w:t>
      </w:r>
      <w:r w:rsidR="007F5943">
        <w:rPr>
          <w:rFonts w:ascii="Calibri" w:eastAsia="Calibri" w:hAnsi="Calibri"/>
          <w:color w:val="0072CE"/>
          <w:szCs w:val="24"/>
          <w:lang w:eastAsia="en-US"/>
        </w:rPr>
        <w:t>.</w:t>
      </w:r>
      <w:r w:rsidRPr="008200CD">
        <w:rPr>
          <w:rFonts w:ascii="Calibri" w:eastAsia="Calibri" w:hAnsi="Calibri"/>
          <w:color w:val="0072CE"/>
          <w:szCs w:val="24"/>
          <w:lang w:eastAsia="en-US"/>
        </w:rPr>
        <w:t xml:space="preserve"> </w:t>
      </w:r>
    </w:p>
    <w:p w14:paraId="25CE033C" w14:textId="77777777" w:rsidR="008200CD" w:rsidRDefault="008200CD" w:rsidP="00B12678">
      <w:pPr>
        <w:numPr>
          <w:ilvl w:val="0"/>
          <w:numId w:val="5"/>
        </w:numPr>
        <w:spacing w:after="200"/>
        <w:ind w:left="1134" w:hanging="283"/>
        <w:contextualSpacing/>
        <w:jc w:val="both"/>
        <w:rPr>
          <w:rFonts w:ascii="Calibri" w:eastAsia="Calibri" w:hAnsi="Calibri"/>
          <w:color w:val="0072CE"/>
          <w:szCs w:val="24"/>
          <w:lang w:eastAsia="en-US"/>
        </w:rPr>
      </w:pPr>
      <w:r w:rsidRPr="008200CD">
        <w:rPr>
          <w:rFonts w:ascii="Calibri" w:eastAsia="Calibri" w:hAnsi="Calibri"/>
          <w:color w:val="0072CE"/>
          <w:szCs w:val="24"/>
          <w:lang w:eastAsia="en-US"/>
        </w:rPr>
        <w:t xml:space="preserve">Ensure information regarding fire safety is </w:t>
      </w:r>
      <w:r w:rsidR="001E34A2">
        <w:rPr>
          <w:rFonts w:ascii="Calibri" w:eastAsia="Calibri" w:hAnsi="Calibri"/>
          <w:color w:val="0072CE"/>
          <w:szCs w:val="24"/>
          <w:lang w:eastAsia="en-US"/>
        </w:rPr>
        <w:t>made</w:t>
      </w:r>
      <w:r w:rsidR="003C6F5C">
        <w:rPr>
          <w:rFonts w:ascii="Calibri" w:eastAsia="Calibri" w:hAnsi="Calibri"/>
          <w:color w:val="0072CE"/>
          <w:szCs w:val="24"/>
          <w:lang w:eastAsia="en-US"/>
        </w:rPr>
        <w:t xml:space="preserve"> readily</w:t>
      </w:r>
      <w:r w:rsidR="001E34A2">
        <w:rPr>
          <w:rFonts w:ascii="Calibri" w:eastAsia="Calibri" w:hAnsi="Calibri"/>
          <w:color w:val="0072CE"/>
          <w:szCs w:val="24"/>
          <w:lang w:eastAsia="en-US"/>
        </w:rPr>
        <w:t xml:space="preserve"> available to contractors and </w:t>
      </w:r>
      <w:r w:rsidR="003C6F5C">
        <w:rPr>
          <w:rFonts w:ascii="Calibri" w:eastAsia="Calibri" w:hAnsi="Calibri"/>
          <w:color w:val="0072CE"/>
          <w:szCs w:val="24"/>
          <w:lang w:eastAsia="en-US"/>
        </w:rPr>
        <w:t xml:space="preserve">that </w:t>
      </w:r>
      <w:r w:rsidR="001E34A2">
        <w:rPr>
          <w:rFonts w:ascii="Calibri" w:eastAsia="Calibri" w:hAnsi="Calibri"/>
          <w:color w:val="0072CE"/>
          <w:szCs w:val="24"/>
          <w:lang w:eastAsia="en-US"/>
        </w:rPr>
        <w:t>they are aware of</w:t>
      </w:r>
      <w:r w:rsidR="001E34A2" w:rsidRPr="001E34A2">
        <w:rPr>
          <w:rFonts w:ascii="Calibri" w:eastAsia="Calibri" w:hAnsi="Calibri"/>
          <w:color w:val="0072CE"/>
          <w:szCs w:val="24"/>
          <w:lang w:eastAsia="en-US"/>
        </w:rPr>
        <w:t xml:space="preserve"> the actions they should take to prevent fires and how to respond to fire if it occurs</w:t>
      </w:r>
      <w:r w:rsidR="003C6F5C">
        <w:rPr>
          <w:rFonts w:ascii="Calibri" w:eastAsia="Calibri" w:hAnsi="Calibri"/>
          <w:color w:val="0072CE"/>
          <w:szCs w:val="24"/>
          <w:lang w:eastAsia="en-US"/>
        </w:rPr>
        <w:t>.  Implement</w:t>
      </w:r>
      <w:r w:rsidR="00DC54D0">
        <w:rPr>
          <w:rFonts w:ascii="Calibri" w:eastAsia="Calibri" w:hAnsi="Calibri"/>
          <w:color w:val="0072CE"/>
          <w:szCs w:val="24"/>
          <w:lang w:eastAsia="en-US"/>
        </w:rPr>
        <w:t xml:space="preserve"> where required</w:t>
      </w:r>
      <w:r w:rsidR="003C6F5C">
        <w:rPr>
          <w:rFonts w:ascii="Calibri" w:eastAsia="Calibri" w:hAnsi="Calibri"/>
          <w:color w:val="0072CE"/>
          <w:szCs w:val="24"/>
          <w:lang w:eastAsia="en-US"/>
        </w:rPr>
        <w:t xml:space="preserve"> a permit to work system to control all hot works or any works undertaken in areas deemed high risk.</w:t>
      </w:r>
    </w:p>
    <w:p w14:paraId="6B5EDA67" w14:textId="1B5B3704" w:rsidR="00E46FBC" w:rsidRDefault="00E46FBC" w:rsidP="00B12678">
      <w:pPr>
        <w:numPr>
          <w:ilvl w:val="0"/>
          <w:numId w:val="5"/>
        </w:numPr>
        <w:spacing w:after="200"/>
        <w:ind w:left="1134" w:hanging="283"/>
        <w:contextualSpacing/>
        <w:jc w:val="both"/>
        <w:rPr>
          <w:rFonts w:ascii="Calibri" w:eastAsia="Calibri" w:hAnsi="Calibri"/>
          <w:color w:val="0072CE"/>
          <w:szCs w:val="24"/>
          <w:lang w:eastAsia="en-US"/>
        </w:rPr>
      </w:pPr>
      <w:r>
        <w:rPr>
          <w:rFonts w:ascii="Calibri" w:eastAsia="Calibri" w:hAnsi="Calibri"/>
          <w:color w:val="0072CE"/>
          <w:szCs w:val="24"/>
          <w:lang w:eastAsia="en-US"/>
        </w:rPr>
        <w:t>Carry out a review of any fire incidents within</w:t>
      </w:r>
      <w:r w:rsidR="00FC2AF0">
        <w:rPr>
          <w:rFonts w:ascii="Calibri" w:eastAsia="Calibri" w:hAnsi="Calibri"/>
          <w:color w:val="0072CE"/>
          <w:szCs w:val="24"/>
          <w:lang w:eastAsia="en-US"/>
        </w:rPr>
        <w:t xml:space="preserve"> blocks in</w:t>
      </w:r>
      <w:r>
        <w:rPr>
          <w:rFonts w:ascii="Calibri" w:eastAsia="Calibri" w:hAnsi="Calibri"/>
          <w:color w:val="0072CE"/>
          <w:szCs w:val="24"/>
          <w:lang w:eastAsia="en-US"/>
        </w:rPr>
        <w:t xml:space="preserve"> 3 working days of the incident taking place</w:t>
      </w:r>
      <w:r w:rsidR="00831EE7">
        <w:rPr>
          <w:rFonts w:ascii="Calibri" w:eastAsia="Calibri" w:hAnsi="Calibri"/>
          <w:color w:val="0072CE"/>
          <w:szCs w:val="24"/>
          <w:lang w:eastAsia="en-US"/>
        </w:rPr>
        <w:t xml:space="preserve"> </w:t>
      </w:r>
      <w:r w:rsidR="00831EE7" w:rsidRPr="00831EE7">
        <w:rPr>
          <w:rFonts w:ascii="Calibri" w:eastAsia="Calibri" w:hAnsi="Calibri"/>
          <w:color w:val="0072CE"/>
          <w:szCs w:val="24"/>
          <w:lang w:eastAsia="en-US"/>
        </w:rPr>
        <w:t>or if there is a significant change such as a change of processes, occupants</w:t>
      </w:r>
      <w:r w:rsidR="006A5B99">
        <w:rPr>
          <w:rFonts w:ascii="Calibri" w:eastAsia="Calibri" w:hAnsi="Calibri"/>
          <w:color w:val="0072CE"/>
          <w:szCs w:val="24"/>
          <w:lang w:eastAsia="en-US"/>
        </w:rPr>
        <w:t>, or the layout of the building</w:t>
      </w:r>
      <w:r w:rsidR="007F5943">
        <w:rPr>
          <w:rFonts w:ascii="Calibri" w:eastAsia="Calibri" w:hAnsi="Calibri"/>
          <w:color w:val="0072CE"/>
          <w:szCs w:val="24"/>
          <w:lang w:eastAsia="en-US"/>
        </w:rPr>
        <w:t>.</w:t>
      </w:r>
    </w:p>
    <w:p w14:paraId="25E59361" w14:textId="6CFC6832" w:rsidR="006A5B99" w:rsidRDefault="003C6F5C" w:rsidP="00B12678">
      <w:pPr>
        <w:numPr>
          <w:ilvl w:val="0"/>
          <w:numId w:val="5"/>
        </w:numPr>
        <w:spacing w:after="200"/>
        <w:ind w:left="1134" w:hanging="283"/>
        <w:contextualSpacing/>
        <w:jc w:val="both"/>
        <w:rPr>
          <w:rFonts w:ascii="Calibri" w:eastAsia="Calibri" w:hAnsi="Calibri"/>
          <w:color w:val="0072CE"/>
          <w:szCs w:val="24"/>
          <w:lang w:eastAsia="en-US"/>
        </w:rPr>
      </w:pPr>
      <w:r>
        <w:rPr>
          <w:rFonts w:ascii="Calibri" w:eastAsia="Calibri" w:hAnsi="Calibri"/>
          <w:color w:val="0072CE"/>
          <w:szCs w:val="24"/>
          <w:lang w:eastAsia="en-US"/>
        </w:rPr>
        <w:t>Ensure on occupancy</w:t>
      </w:r>
      <w:r w:rsidR="008F6652">
        <w:rPr>
          <w:rFonts w:ascii="Calibri" w:eastAsia="Calibri" w:hAnsi="Calibri"/>
          <w:color w:val="0072CE"/>
          <w:szCs w:val="24"/>
          <w:lang w:eastAsia="en-US"/>
        </w:rPr>
        <w:t xml:space="preserve"> any new development with a communal area </w:t>
      </w:r>
      <w:r w:rsidR="0023001F">
        <w:rPr>
          <w:rFonts w:ascii="Calibri" w:eastAsia="Calibri" w:hAnsi="Calibri"/>
          <w:color w:val="0072CE"/>
          <w:szCs w:val="24"/>
          <w:lang w:eastAsia="en-US"/>
        </w:rPr>
        <w:t xml:space="preserve">is registered if required with the Building Safety Regulator and </w:t>
      </w:r>
      <w:r w:rsidR="008F6652">
        <w:rPr>
          <w:rFonts w:ascii="Calibri" w:eastAsia="Calibri" w:hAnsi="Calibri"/>
          <w:color w:val="0072CE"/>
          <w:szCs w:val="24"/>
          <w:lang w:eastAsia="en-US"/>
        </w:rPr>
        <w:t xml:space="preserve">has a </w:t>
      </w:r>
      <w:r w:rsidR="0023001F">
        <w:rPr>
          <w:rFonts w:ascii="Calibri" w:eastAsia="Calibri" w:hAnsi="Calibri"/>
          <w:color w:val="0072CE"/>
          <w:szCs w:val="24"/>
          <w:lang w:eastAsia="en-US"/>
        </w:rPr>
        <w:t xml:space="preserve">Fire Management Plan including a </w:t>
      </w:r>
      <w:r w:rsidR="008F6652">
        <w:rPr>
          <w:rFonts w:ascii="Calibri" w:eastAsia="Calibri" w:hAnsi="Calibri"/>
          <w:color w:val="0072CE"/>
          <w:szCs w:val="24"/>
          <w:lang w:eastAsia="en-US"/>
        </w:rPr>
        <w:t xml:space="preserve">Fire Risk Assessment and </w:t>
      </w:r>
      <w:r>
        <w:rPr>
          <w:rFonts w:ascii="Calibri" w:eastAsia="Calibri" w:hAnsi="Calibri"/>
          <w:color w:val="0072CE"/>
          <w:szCs w:val="24"/>
          <w:lang w:eastAsia="en-US"/>
        </w:rPr>
        <w:t xml:space="preserve">at handover the </w:t>
      </w:r>
      <w:r w:rsidR="008F6652">
        <w:rPr>
          <w:rFonts w:ascii="Calibri" w:eastAsia="Calibri" w:hAnsi="Calibri"/>
          <w:color w:val="0072CE"/>
          <w:szCs w:val="24"/>
          <w:lang w:eastAsia="en-US"/>
        </w:rPr>
        <w:t xml:space="preserve">appropriate documentation </w:t>
      </w:r>
      <w:r>
        <w:rPr>
          <w:rFonts w:ascii="Calibri" w:eastAsia="Calibri" w:hAnsi="Calibri"/>
          <w:color w:val="0072CE"/>
          <w:szCs w:val="24"/>
          <w:lang w:eastAsia="en-US"/>
        </w:rPr>
        <w:t xml:space="preserve">is </w:t>
      </w:r>
      <w:r w:rsidR="008F6652">
        <w:rPr>
          <w:rFonts w:ascii="Calibri" w:eastAsia="Calibri" w:hAnsi="Calibri"/>
          <w:color w:val="0072CE"/>
          <w:szCs w:val="24"/>
          <w:lang w:eastAsia="en-US"/>
        </w:rPr>
        <w:t>in place to support correct specification relating to fire doors, fire stopping and compartmentation</w:t>
      </w:r>
      <w:r w:rsidR="007F5943">
        <w:rPr>
          <w:rFonts w:ascii="Calibri" w:eastAsia="Calibri" w:hAnsi="Calibri"/>
          <w:color w:val="0072CE"/>
          <w:szCs w:val="24"/>
          <w:lang w:eastAsia="en-US"/>
        </w:rPr>
        <w:t>.</w:t>
      </w:r>
    </w:p>
    <w:p w14:paraId="3C29ABFE" w14:textId="5A93A12D" w:rsidR="002C0E05" w:rsidRDefault="002C70D2" w:rsidP="00B12678">
      <w:pPr>
        <w:numPr>
          <w:ilvl w:val="0"/>
          <w:numId w:val="5"/>
        </w:numPr>
        <w:spacing w:after="200"/>
        <w:ind w:left="1134" w:hanging="283"/>
        <w:contextualSpacing/>
        <w:jc w:val="both"/>
        <w:rPr>
          <w:rFonts w:ascii="Calibri" w:eastAsia="Calibri" w:hAnsi="Calibri"/>
          <w:color w:val="0072CE"/>
          <w:szCs w:val="24"/>
          <w:lang w:eastAsia="en-US"/>
        </w:rPr>
      </w:pPr>
      <w:r>
        <w:rPr>
          <w:rFonts w:ascii="Calibri" w:eastAsia="Calibri" w:hAnsi="Calibri"/>
          <w:color w:val="0072CE"/>
          <w:szCs w:val="24"/>
          <w:lang w:eastAsia="en-US"/>
        </w:rPr>
        <w:t xml:space="preserve">Ensure </w:t>
      </w:r>
      <w:r w:rsidR="002C0E05">
        <w:rPr>
          <w:rFonts w:ascii="Calibri" w:eastAsia="Calibri" w:hAnsi="Calibri"/>
          <w:color w:val="0072CE"/>
          <w:szCs w:val="24"/>
          <w:lang w:eastAsia="en-US"/>
        </w:rPr>
        <w:t xml:space="preserve">Resident Engagement Strategies are developed </w:t>
      </w:r>
      <w:r w:rsidR="00543FCD">
        <w:rPr>
          <w:rFonts w:ascii="Calibri" w:eastAsia="Calibri" w:hAnsi="Calibri"/>
          <w:color w:val="0072CE"/>
          <w:szCs w:val="24"/>
          <w:lang w:eastAsia="en-US"/>
        </w:rPr>
        <w:t xml:space="preserve">for each block </w:t>
      </w:r>
      <w:r w:rsidR="002C0E05">
        <w:rPr>
          <w:rFonts w:ascii="Calibri" w:eastAsia="Calibri" w:hAnsi="Calibri"/>
          <w:color w:val="0072CE"/>
          <w:szCs w:val="24"/>
          <w:lang w:eastAsia="en-US"/>
        </w:rPr>
        <w:t xml:space="preserve">in line with the </w:t>
      </w:r>
      <w:r w:rsidR="00543FCD">
        <w:rPr>
          <w:rFonts w:ascii="Calibri" w:eastAsia="Calibri" w:hAnsi="Calibri"/>
          <w:color w:val="0072CE"/>
          <w:szCs w:val="24"/>
          <w:lang w:eastAsia="en-US"/>
        </w:rPr>
        <w:t>Building Safety Bill 2021 and the Fire Safety Act 2021</w:t>
      </w:r>
    </w:p>
    <w:p w14:paraId="7353A609" w14:textId="608B52D5" w:rsidR="002C70D2" w:rsidRDefault="002C0E05" w:rsidP="00B12678">
      <w:pPr>
        <w:numPr>
          <w:ilvl w:val="0"/>
          <w:numId w:val="5"/>
        </w:numPr>
        <w:spacing w:after="200"/>
        <w:ind w:left="1134" w:hanging="283"/>
        <w:contextualSpacing/>
        <w:jc w:val="both"/>
        <w:rPr>
          <w:rFonts w:ascii="Calibri" w:eastAsia="Calibri" w:hAnsi="Calibri"/>
          <w:color w:val="0072CE"/>
          <w:szCs w:val="24"/>
          <w:lang w:eastAsia="en-US"/>
        </w:rPr>
      </w:pPr>
      <w:r>
        <w:rPr>
          <w:rFonts w:ascii="Calibri" w:eastAsia="Calibri" w:hAnsi="Calibri"/>
          <w:color w:val="0072CE"/>
          <w:szCs w:val="24"/>
          <w:lang w:eastAsia="en-US"/>
        </w:rPr>
        <w:t xml:space="preserve">Ensure </w:t>
      </w:r>
      <w:r w:rsidR="002C70D2">
        <w:rPr>
          <w:rFonts w:ascii="Calibri" w:eastAsia="Calibri" w:hAnsi="Calibri"/>
          <w:color w:val="0072CE"/>
          <w:szCs w:val="24"/>
          <w:lang w:eastAsia="en-US"/>
        </w:rPr>
        <w:t>Fi</w:t>
      </w:r>
      <w:r w:rsidR="00714C98">
        <w:rPr>
          <w:rFonts w:ascii="Calibri" w:eastAsia="Calibri" w:hAnsi="Calibri"/>
          <w:color w:val="0072CE"/>
          <w:szCs w:val="24"/>
          <w:lang w:eastAsia="en-US"/>
        </w:rPr>
        <w:t xml:space="preserve">re Risk Assessments for common </w:t>
      </w:r>
      <w:r w:rsidR="002C70D2">
        <w:rPr>
          <w:rFonts w:ascii="Calibri" w:eastAsia="Calibri" w:hAnsi="Calibri"/>
          <w:color w:val="0072CE"/>
          <w:szCs w:val="24"/>
          <w:lang w:eastAsia="en-US"/>
        </w:rPr>
        <w:t>areas are published and available to tenants</w:t>
      </w:r>
      <w:r w:rsidR="007F5943">
        <w:rPr>
          <w:rFonts w:ascii="Calibri" w:eastAsia="Calibri" w:hAnsi="Calibri"/>
          <w:color w:val="0072CE"/>
          <w:szCs w:val="24"/>
          <w:lang w:eastAsia="en-US"/>
        </w:rPr>
        <w:t>.</w:t>
      </w:r>
      <w:r w:rsidR="002C70D2">
        <w:rPr>
          <w:rFonts w:ascii="Calibri" w:eastAsia="Calibri" w:hAnsi="Calibri"/>
          <w:color w:val="0072CE"/>
          <w:szCs w:val="24"/>
          <w:lang w:eastAsia="en-US"/>
        </w:rPr>
        <w:t xml:space="preserve"> </w:t>
      </w:r>
    </w:p>
    <w:p w14:paraId="6B159124" w14:textId="2E9640D8" w:rsidR="002E32CA" w:rsidRDefault="002E32CA" w:rsidP="00B12678">
      <w:pPr>
        <w:numPr>
          <w:ilvl w:val="0"/>
          <w:numId w:val="5"/>
        </w:numPr>
        <w:spacing w:after="200"/>
        <w:ind w:left="1134" w:hanging="283"/>
        <w:contextualSpacing/>
        <w:jc w:val="both"/>
        <w:rPr>
          <w:rFonts w:ascii="Calibri" w:eastAsia="Calibri" w:hAnsi="Calibri"/>
          <w:color w:val="0072CE"/>
          <w:szCs w:val="24"/>
          <w:lang w:eastAsia="en-US"/>
        </w:rPr>
      </w:pPr>
      <w:r w:rsidRPr="002E32CA">
        <w:rPr>
          <w:rFonts w:ascii="Calibri" w:eastAsia="Calibri" w:hAnsi="Calibri"/>
          <w:color w:val="0072CE"/>
          <w:szCs w:val="24"/>
          <w:lang w:eastAsia="en-US"/>
        </w:rPr>
        <w:t xml:space="preserve">Report to the Operations Director any </w:t>
      </w:r>
      <w:r w:rsidR="00395CE3" w:rsidRPr="002E32CA">
        <w:rPr>
          <w:rFonts w:ascii="Calibri" w:eastAsia="Calibri" w:hAnsi="Calibri"/>
          <w:color w:val="0072CE"/>
          <w:szCs w:val="24"/>
          <w:lang w:eastAsia="en-US"/>
        </w:rPr>
        <w:t>non-compliance</w:t>
      </w:r>
      <w:r w:rsidRPr="002E32CA">
        <w:rPr>
          <w:rFonts w:ascii="Calibri" w:eastAsia="Calibri" w:hAnsi="Calibri"/>
          <w:color w:val="0072CE"/>
          <w:szCs w:val="24"/>
          <w:lang w:eastAsia="en-US"/>
        </w:rPr>
        <w:t xml:space="preserve"> of less than 100% of </w:t>
      </w:r>
      <w:r>
        <w:rPr>
          <w:rFonts w:ascii="Calibri" w:eastAsia="Calibri" w:hAnsi="Calibri"/>
          <w:color w:val="0072CE"/>
          <w:szCs w:val="24"/>
          <w:lang w:eastAsia="en-US"/>
        </w:rPr>
        <w:t xml:space="preserve">Fire Risk Assessments </w:t>
      </w:r>
      <w:r w:rsidR="00714C98">
        <w:rPr>
          <w:rFonts w:ascii="Calibri" w:eastAsia="Calibri" w:hAnsi="Calibri"/>
          <w:color w:val="0072CE"/>
          <w:szCs w:val="24"/>
          <w:lang w:eastAsia="en-US"/>
        </w:rPr>
        <w:t xml:space="preserve">for all properties and common </w:t>
      </w:r>
      <w:r w:rsidRPr="002E32CA">
        <w:rPr>
          <w:rFonts w:ascii="Calibri" w:eastAsia="Calibri" w:hAnsi="Calibri"/>
          <w:color w:val="0072CE"/>
          <w:szCs w:val="24"/>
          <w:lang w:eastAsia="en-US"/>
        </w:rPr>
        <w:t xml:space="preserve">areas in line with the timescales </w:t>
      </w:r>
      <w:r w:rsidRPr="002E32CA">
        <w:rPr>
          <w:rFonts w:ascii="Calibri" w:eastAsia="Calibri" w:hAnsi="Calibri"/>
          <w:color w:val="0072CE"/>
          <w:szCs w:val="24"/>
          <w:lang w:eastAsia="en-US"/>
        </w:rPr>
        <w:lastRenderedPageBreak/>
        <w:t xml:space="preserve">of this policy that require one which would be a breach of the </w:t>
      </w:r>
      <w:r w:rsidR="007F5943">
        <w:rPr>
          <w:rFonts w:ascii="Calibri" w:eastAsia="Calibri" w:hAnsi="Calibri"/>
          <w:color w:val="0072CE"/>
          <w:szCs w:val="24"/>
          <w:lang w:eastAsia="en-US"/>
        </w:rPr>
        <w:t xml:space="preserve">Regulator of Social Housing’ </w:t>
      </w:r>
      <w:r w:rsidRPr="002E32CA">
        <w:rPr>
          <w:rFonts w:ascii="Calibri" w:eastAsia="Calibri" w:hAnsi="Calibri"/>
          <w:color w:val="0072CE"/>
          <w:szCs w:val="24"/>
          <w:lang w:eastAsia="en-US"/>
        </w:rPr>
        <w:t>Home Standard</w:t>
      </w:r>
      <w:r w:rsidR="0056753C">
        <w:rPr>
          <w:rFonts w:ascii="Calibri" w:eastAsia="Calibri" w:hAnsi="Calibri"/>
          <w:color w:val="0072CE"/>
          <w:szCs w:val="24"/>
          <w:lang w:eastAsia="en-US"/>
        </w:rPr>
        <w:t>.</w:t>
      </w:r>
    </w:p>
    <w:p w14:paraId="356E053E" w14:textId="6C35111D" w:rsidR="002E32CA" w:rsidRDefault="002E32CA" w:rsidP="00B12678">
      <w:pPr>
        <w:numPr>
          <w:ilvl w:val="0"/>
          <w:numId w:val="5"/>
        </w:numPr>
        <w:spacing w:after="200"/>
        <w:ind w:left="1134" w:hanging="283"/>
        <w:contextualSpacing/>
        <w:jc w:val="both"/>
        <w:rPr>
          <w:rFonts w:ascii="Calibri" w:eastAsia="Calibri" w:hAnsi="Calibri"/>
          <w:color w:val="0072CE"/>
          <w:szCs w:val="24"/>
          <w:lang w:eastAsia="en-US"/>
        </w:rPr>
      </w:pPr>
      <w:r w:rsidRPr="002E32CA">
        <w:rPr>
          <w:rFonts w:ascii="Calibri" w:eastAsia="Calibri" w:hAnsi="Calibri"/>
          <w:color w:val="0072CE"/>
          <w:szCs w:val="24"/>
          <w:lang w:eastAsia="en-US"/>
        </w:rPr>
        <w:t xml:space="preserve">Ensure any remedial work </w:t>
      </w:r>
      <w:r w:rsidR="009A7025">
        <w:rPr>
          <w:rFonts w:ascii="Calibri" w:eastAsia="Calibri" w:hAnsi="Calibri"/>
          <w:color w:val="0072CE"/>
          <w:szCs w:val="24"/>
          <w:lang w:eastAsia="en-US"/>
        </w:rPr>
        <w:t xml:space="preserve">is undertaken </w:t>
      </w:r>
      <w:r w:rsidRPr="002E32CA">
        <w:rPr>
          <w:rFonts w:ascii="Calibri" w:eastAsia="Calibri" w:hAnsi="Calibri"/>
          <w:color w:val="0072CE"/>
          <w:szCs w:val="24"/>
          <w:lang w:eastAsia="en-US"/>
        </w:rPr>
        <w:t xml:space="preserve">identified as </w:t>
      </w:r>
      <w:r w:rsidR="00395CE3" w:rsidRPr="002E32CA">
        <w:rPr>
          <w:rFonts w:ascii="Calibri" w:eastAsia="Calibri" w:hAnsi="Calibri"/>
          <w:color w:val="0072CE"/>
          <w:szCs w:val="24"/>
          <w:lang w:eastAsia="en-US"/>
        </w:rPr>
        <w:t>non-compliance</w:t>
      </w:r>
      <w:r w:rsidRPr="002E32CA">
        <w:rPr>
          <w:rFonts w:ascii="Calibri" w:eastAsia="Calibri" w:hAnsi="Calibri"/>
          <w:color w:val="0072CE"/>
          <w:szCs w:val="24"/>
          <w:lang w:eastAsia="en-US"/>
        </w:rPr>
        <w:t xml:space="preserve"> of the Regulatory Standard of the </w:t>
      </w:r>
      <w:r w:rsidR="007F5943">
        <w:rPr>
          <w:rFonts w:ascii="Calibri" w:eastAsia="Calibri" w:hAnsi="Calibri"/>
          <w:color w:val="0072CE"/>
          <w:szCs w:val="24"/>
          <w:lang w:eastAsia="en-US"/>
        </w:rPr>
        <w:t xml:space="preserve">Regulator of Social housing’ </w:t>
      </w:r>
      <w:r w:rsidRPr="002E32CA">
        <w:rPr>
          <w:rFonts w:ascii="Calibri" w:eastAsia="Calibri" w:hAnsi="Calibri"/>
          <w:color w:val="0072CE"/>
          <w:szCs w:val="24"/>
          <w:lang w:eastAsia="en-US"/>
        </w:rPr>
        <w:t>Home Standard</w:t>
      </w:r>
      <w:r w:rsidR="00714C98">
        <w:rPr>
          <w:rFonts w:ascii="Calibri" w:eastAsia="Calibri" w:hAnsi="Calibri"/>
          <w:color w:val="0072CE"/>
          <w:szCs w:val="24"/>
          <w:lang w:eastAsia="en-US"/>
        </w:rPr>
        <w:t>.</w:t>
      </w:r>
    </w:p>
    <w:p w14:paraId="3786217A" w14:textId="06DED61E" w:rsidR="00C56000" w:rsidRPr="0056753C" w:rsidRDefault="00C56000" w:rsidP="00B12678">
      <w:pPr>
        <w:pStyle w:val="Style1"/>
        <w:spacing w:line="240" w:lineRule="auto"/>
        <w:rPr>
          <w:b/>
        </w:rPr>
      </w:pPr>
      <w:r w:rsidRPr="0056753C">
        <w:rPr>
          <w:b/>
        </w:rPr>
        <w:t xml:space="preserve">Supported Housing Managing Agents </w:t>
      </w:r>
    </w:p>
    <w:p w14:paraId="522104C5" w14:textId="4EC16AD3" w:rsidR="00C56000" w:rsidRDefault="00C56000" w:rsidP="00B12678">
      <w:pPr>
        <w:ind w:left="851"/>
        <w:jc w:val="both"/>
        <w:rPr>
          <w:rFonts w:ascii="Calibri" w:hAnsi="Calibri" w:cs="Calibri"/>
          <w:color w:val="0072CE"/>
        </w:rPr>
      </w:pPr>
      <w:r w:rsidRPr="00F4188D">
        <w:rPr>
          <w:rFonts w:ascii="Calibri" w:hAnsi="Calibri" w:cs="Calibri"/>
          <w:color w:val="0072CE"/>
        </w:rPr>
        <w:t xml:space="preserve">Where we own properties that are not managed directly by Arches Housing, we remain </w:t>
      </w:r>
      <w:r>
        <w:rPr>
          <w:rFonts w:ascii="Calibri" w:hAnsi="Calibri" w:cs="Calibri"/>
          <w:color w:val="0072CE"/>
        </w:rPr>
        <w:t xml:space="preserve">responsible </w:t>
      </w:r>
      <w:r w:rsidRPr="00F4188D">
        <w:rPr>
          <w:rFonts w:ascii="Calibri" w:hAnsi="Calibri" w:cs="Calibri"/>
          <w:color w:val="0072CE"/>
        </w:rPr>
        <w:t xml:space="preserve">for fire safety. </w:t>
      </w:r>
      <w:r w:rsidR="00282841">
        <w:rPr>
          <w:rFonts w:ascii="Calibri" w:hAnsi="Calibri" w:cs="Calibri"/>
          <w:color w:val="0072CE"/>
        </w:rPr>
        <w:t>However,</w:t>
      </w:r>
      <w:r>
        <w:rPr>
          <w:rFonts w:ascii="Calibri" w:hAnsi="Calibri" w:cs="Calibri"/>
          <w:color w:val="0072CE"/>
        </w:rPr>
        <w:t xml:space="preserve"> a</w:t>
      </w:r>
      <w:r w:rsidRPr="00F4188D">
        <w:rPr>
          <w:rFonts w:ascii="Calibri" w:hAnsi="Calibri" w:cs="Calibri"/>
          <w:color w:val="0072CE"/>
        </w:rPr>
        <w:t>ll supported housing managing agents are expected to undertake periodic checks of properties managed on our behalf and specifically this must include</w:t>
      </w:r>
      <w:r w:rsidR="000F47FA">
        <w:rPr>
          <w:rFonts w:ascii="Calibri" w:hAnsi="Calibri" w:cs="Calibri"/>
          <w:color w:val="0072CE"/>
        </w:rPr>
        <w:t>:</w:t>
      </w:r>
      <w:r w:rsidRPr="00F4188D">
        <w:rPr>
          <w:rFonts w:ascii="Calibri" w:hAnsi="Calibri" w:cs="Calibri"/>
          <w:color w:val="0072CE"/>
        </w:rPr>
        <w:t xml:space="preserve"> </w:t>
      </w:r>
    </w:p>
    <w:p w14:paraId="57C0E90F" w14:textId="77777777" w:rsidR="007B1549" w:rsidRPr="00F4188D" w:rsidRDefault="007B1549" w:rsidP="00B12678">
      <w:pPr>
        <w:ind w:left="567" w:hanging="567"/>
        <w:jc w:val="both"/>
        <w:rPr>
          <w:rFonts w:ascii="Calibri" w:hAnsi="Calibri" w:cs="Calibri"/>
          <w:color w:val="0072CE"/>
        </w:rPr>
      </w:pPr>
    </w:p>
    <w:p w14:paraId="1EB9C915" w14:textId="77777777" w:rsidR="00C56000" w:rsidRPr="00F4188D" w:rsidRDefault="003C6F5C" w:rsidP="00B12678">
      <w:pPr>
        <w:numPr>
          <w:ilvl w:val="0"/>
          <w:numId w:val="1"/>
        </w:numPr>
        <w:ind w:left="1134" w:hanging="283"/>
        <w:jc w:val="both"/>
        <w:rPr>
          <w:rFonts w:ascii="Calibri" w:hAnsi="Calibri" w:cs="Calibri"/>
          <w:color w:val="0072CE"/>
        </w:rPr>
      </w:pPr>
      <w:r w:rsidRPr="00223001">
        <w:rPr>
          <w:rFonts w:ascii="Calibri" w:hAnsi="Calibri" w:cs="Calibri"/>
          <w:color w:val="0072CE"/>
        </w:rPr>
        <w:t>Weekly</w:t>
      </w:r>
      <w:r>
        <w:rPr>
          <w:rFonts w:ascii="Calibri" w:hAnsi="Calibri" w:cs="Calibri"/>
          <w:color w:val="0072CE"/>
        </w:rPr>
        <w:t xml:space="preserve"> inspection of any fire-</w:t>
      </w:r>
      <w:r w:rsidR="00C56000" w:rsidRPr="00F4188D">
        <w:rPr>
          <w:rFonts w:ascii="Calibri" w:hAnsi="Calibri" w:cs="Calibri"/>
          <w:color w:val="0072CE"/>
        </w:rPr>
        <w:t xml:space="preserve">fighting equipment; to include fire extinguishers, fire blankets etc.  </w:t>
      </w:r>
    </w:p>
    <w:p w14:paraId="5863DBEE" w14:textId="77777777" w:rsidR="00C56000" w:rsidRPr="00F4188D" w:rsidRDefault="00C56000" w:rsidP="00B12678">
      <w:pPr>
        <w:numPr>
          <w:ilvl w:val="0"/>
          <w:numId w:val="1"/>
        </w:numPr>
        <w:ind w:left="1134" w:hanging="283"/>
        <w:jc w:val="both"/>
        <w:rPr>
          <w:rFonts w:ascii="Calibri" w:hAnsi="Calibri" w:cs="Calibri"/>
          <w:color w:val="0072CE"/>
        </w:rPr>
      </w:pPr>
      <w:r w:rsidRPr="00F4188D">
        <w:rPr>
          <w:rFonts w:ascii="Calibri" w:hAnsi="Calibri" w:cs="Calibri"/>
          <w:color w:val="0072CE"/>
        </w:rPr>
        <w:t>Weekly testing of any fire alarms</w:t>
      </w:r>
      <w:r w:rsidR="007F5943">
        <w:rPr>
          <w:rFonts w:ascii="Calibri" w:hAnsi="Calibri" w:cs="Calibri"/>
          <w:color w:val="0072CE"/>
        </w:rPr>
        <w:t>.</w:t>
      </w:r>
      <w:r w:rsidRPr="00F4188D">
        <w:rPr>
          <w:rFonts w:ascii="Calibri" w:hAnsi="Calibri" w:cs="Calibri"/>
          <w:color w:val="0072CE"/>
        </w:rPr>
        <w:t xml:space="preserve"> </w:t>
      </w:r>
    </w:p>
    <w:p w14:paraId="09F9273C" w14:textId="77777777" w:rsidR="00C56000" w:rsidRPr="00F4188D" w:rsidRDefault="00C56000" w:rsidP="00B12678">
      <w:pPr>
        <w:numPr>
          <w:ilvl w:val="0"/>
          <w:numId w:val="1"/>
        </w:numPr>
        <w:ind w:left="1134" w:hanging="283"/>
        <w:jc w:val="both"/>
        <w:rPr>
          <w:rFonts w:ascii="Calibri" w:hAnsi="Calibri" w:cs="Calibri"/>
          <w:color w:val="0072CE"/>
        </w:rPr>
      </w:pPr>
      <w:r w:rsidRPr="00F4188D">
        <w:rPr>
          <w:rFonts w:ascii="Calibri" w:hAnsi="Calibri" w:cs="Calibri"/>
          <w:color w:val="0072CE"/>
        </w:rPr>
        <w:t>Weekly testing of smoke alarms to communal areas</w:t>
      </w:r>
      <w:r w:rsidR="007F5943">
        <w:rPr>
          <w:rFonts w:ascii="Calibri" w:hAnsi="Calibri" w:cs="Calibri"/>
          <w:color w:val="0072CE"/>
        </w:rPr>
        <w:t>.</w:t>
      </w:r>
      <w:r w:rsidRPr="00F4188D">
        <w:rPr>
          <w:rFonts w:ascii="Calibri" w:hAnsi="Calibri" w:cs="Calibri"/>
          <w:color w:val="0072CE"/>
        </w:rPr>
        <w:t xml:space="preserve"> </w:t>
      </w:r>
    </w:p>
    <w:p w14:paraId="3662E03F" w14:textId="77777777" w:rsidR="00C56000" w:rsidRPr="00223001" w:rsidRDefault="00C56000" w:rsidP="00B12678">
      <w:pPr>
        <w:numPr>
          <w:ilvl w:val="0"/>
          <w:numId w:val="1"/>
        </w:numPr>
        <w:ind w:left="1134" w:hanging="283"/>
        <w:jc w:val="both"/>
        <w:rPr>
          <w:rFonts w:ascii="Calibri" w:hAnsi="Calibri" w:cs="Calibri"/>
          <w:color w:val="0072CE"/>
        </w:rPr>
      </w:pPr>
      <w:r w:rsidRPr="00223001">
        <w:rPr>
          <w:rFonts w:ascii="Calibri" w:hAnsi="Calibri" w:cs="Calibri"/>
          <w:color w:val="0072CE"/>
        </w:rPr>
        <w:t>Weekly testing of carbon monoxide detectors to communal areas</w:t>
      </w:r>
      <w:r w:rsidR="00D82078" w:rsidRPr="00223001">
        <w:rPr>
          <w:rFonts w:ascii="Calibri" w:hAnsi="Calibri" w:cs="Calibri"/>
          <w:color w:val="0072CE"/>
        </w:rPr>
        <w:t xml:space="preserve"> where these are fitted</w:t>
      </w:r>
      <w:r w:rsidR="007F5943" w:rsidRPr="00223001">
        <w:rPr>
          <w:rFonts w:ascii="Calibri" w:hAnsi="Calibri" w:cs="Calibri"/>
          <w:color w:val="0072CE"/>
        </w:rPr>
        <w:t>.</w:t>
      </w:r>
      <w:r w:rsidRPr="00223001">
        <w:rPr>
          <w:rFonts w:ascii="Calibri" w:hAnsi="Calibri" w:cs="Calibri"/>
          <w:color w:val="0072CE"/>
        </w:rPr>
        <w:t xml:space="preserve">   </w:t>
      </w:r>
    </w:p>
    <w:p w14:paraId="0A419440" w14:textId="77777777" w:rsidR="00C56000" w:rsidRPr="00F4188D" w:rsidRDefault="00C56000" w:rsidP="00B12678">
      <w:pPr>
        <w:numPr>
          <w:ilvl w:val="0"/>
          <w:numId w:val="1"/>
        </w:numPr>
        <w:ind w:left="1134" w:hanging="283"/>
        <w:jc w:val="both"/>
        <w:rPr>
          <w:rFonts w:ascii="Calibri" w:hAnsi="Calibri" w:cs="Calibri"/>
          <w:color w:val="0072CE"/>
        </w:rPr>
      </w:pPr>
      <w:r w:rsidRPr="00223001">
        <w:rPr>
          <w:rFonts w:ascii="Calibri" w:hAnsi="Calibri" w:cs="Calibri"/>
          <w:color w:val="0072CE"/>
        </w:rPr>
        <w:t>Weekly</w:t>
      </w:r>
      <w:r w:rsidRPr="00F4188D">
        <w:rPr>
          <w:rFonts w:ascii="Calibri" w:hAnsi="Calibri" w:cs="Calibri"/>
          <w:color w:val="0072CE"/>
        </w:rPr>
        <w:t xml:space="preserve"> visual check of all comm</w:t>
      </w:r>
      <w:r w:rsidR="007445DA">
        <w:rPr>
          <w:rFonts w:ascii="Calibri" w:hAnsi="Calibri" w:cs="Calibri"/>
          <w:color w:val="0072CE"/>
        </w:rPr>
        <w:t>on</w:t>
      </w:r>
      <w:r w:rsidRPr="00F4188D">
        <w:rPr>
          <w:rFonts w:ascii="Calibri" w:hAnsi="Calibri" w:cs="Calibri"/>
          <w:color w:val="0072CE"/>
        </w:rPr>
        <w:t xml:space="preserve"> areas to ensure that there are no items hindering exit from the premises. </w:t>
      </w:r>
    </w:p>
    <w:p w14:paraId="10E11A0B" w14:textId="77777777" w:rsidR="00C56000" w:rsidRPr="003C6F5C" w:rsidRDefault="005837A0" w:rsidP="00B12678">
      <w:pPr>
        <w:numPr>
          <w:ilvl w:val="0"/>
          <w:numId w:val="1"/>
        </w:numPr>
        <w:ind w:left="1134" w:hanging="283"/>
        <w:jc w:val="both"/>
        <w:rPr>
          <w:color w:val="0072CE"/>
        </w:rPr>
      </w:pPr>
      <w:r w:rsidRPr="003C6F5C">
        <w:rPr>
          <w:rFonts w:ascii="Calibri" w:hAnsi="Calibri" w:cs="Calibri"/>
          <w:color w:val="0072CE"/>
        </w:rPr>
        <w:t xml:space="preserve">Six monthly </w:t>
      </w:r>
      <w:r w:rsidR="00C56000" w:rsidRPr="003C6F5C">
        <w:rPr>
          <w:rFonts w:ascii="Calibri" w:hAnsi="Calibri" w:cs="Calibri"/>
          <w:color w:val="0072CE"/>
        </w:rPr>
        <w:t xml:space="preserve">evacuation </w:t>
      </w:r>
      <w:proofErr w:type="gramStart"/>
      <w:r w:rsidR="00C56000" w:rsidRPr="003C6F5C">
        <w:rPr>
          <w:rFonts w:ascii="Calibri" w:hAnsi="Calibri" w:cs="Calibri"/>
          <w:color w:val="0072CE"/>
        </w:rPr>
        <w:t>test</w:t>
      </w:r>
      <w:proofErr w:type="gramEnd"/>
      <w:r w:rsidR="00C56000" w:rsidRPr="003C6F5C">
        <w:rPr>
          <w:rFonts w:ascii="Calibri" w:hAnsi="Calibri" w:cs="Calibri"/>
          <w:color w:val="0072CE"/>
        </w:rPr>
        <w:t xml:space="preserve"> where there is </w:t>
      </w:r>
      <w:r w:rsidR="003C6F5C">
        <w:rPr>
          <w:rFonts w:ascii="Calibri" w:hAnsi="Calibri" w:cs="Calibri"/>
          <w:color w:val="0072CE"/>
        </w:rPr>
        <w:t>an evacuation strategy in operation.</w:t>
      </w:r>
    </w:p>
    <w:p w14:paraId="68B6E467" w14:textId="009B4DE6" w:rsidR="00C56000" w:rsidRPr="00F4188D" w:rsidRDefault="00C56000" w:rsidP="00B12678">
      <w:pPr>
        <w:spacing w:before="120" w:after="120"/>
        <w:ind w:left="720"/>
        <w:jc w:val="both"/>
        <w:rPr>
          <w:rFonts w:ascii="Calibri" w:hAnsi="Calibri" w:cs="Calibri"/>
          <w:color w:val="0072CE"/>
          <w:szCs w:val="24"/>
        </w:rPr>
      </w:pPr>
      <w:r w:rsidRPr="00F4188D">
        <w:rPr>
          <w:rFonts w:ascii="Calibri" w:hAnsi="Calibri" w:cs="Calibri"/>
          <w:color w:val="0072CE"/>
          <w:szCs w:val="24"/>
        </w:rPr>
        <w:t>Documentary evidence that the above checks have been completed will be submi</w:t>
      </w:r>
      <w:r w:rsidR="00E46FBC">
        <w:rPr>
          <w:rFonts w:ascii="Calibri" w:hAnsi="Calibri" w:cs="Calibri"/>
          <w:color w:val="0072CE"/>
          <w:szCs w:val="24"/>
        </w:rPr>
        <w:t xml:space="preserve">tted by the managing agent to the </w:t>
      </w:r>
      <w:r w:rsidR="00440E1E">
        <w:rPr>
          <w:rFonts w:ascii="Calibri" w:hAnsi="Calibri" w:cs="Calibri"/>
          <w:color w:val="0072CE"/>
          <w:szCs w:val="24"/>
        </w:rPr>
        <w:t xml:space="preserve">Building Safety Manager or the </w:t>
      </w:r>
      <w:r w:rsidR="00E46FBC">
        <w:rPr>
          <w:rFonts w:ascii="Calibri" w:hAnsi="Calibri" w:cs="Calibri"/>
          <w:color w:val="0072CE"/>
          <w:szCs w:val="24"/>
        </w:rPr>
        <w:t xml:space="preserve">Responsible Person </w:t>
      </w:r>
      <w:r w:rsidR="00440E1E">
        <w:rPr>
          <w:rFonts w:ascii="Calibri" w:hAnsi="Calibri" w:cs="Calibri"/>
          <w:color w:val="0072CE"/>
          <w:szCs w:val="24"/>
        </w:rPr>
        <w:t>in their absence</w:t>
      </w:r>
      <w:r w:rsidR="00E46FBC">
        <w:rPr>
          <w:rFonts w:ascii="Calibri" w:hAnsi="Calibri" w:cs="Calibri"/>
          <w:color w:val="0072CE"/>
          <w:szCs w:val="24"/>
        </w:rPr>
        <w:t xml:space="preserve"> </w:t>
      </w:r>
      <w:r w:rsidR="00282841">
        <w:rPr>
          <w:rFonts w:ascii="Calibri" w:hAnsi="Calibri" w:cs="Calibri"/>
          <w:color w:val="0072CE"/>
          <w:szCs w:val="24"/>
        </w:rPr>
        <w:t>monthly</w:t>
      </w:r>
      <w:r w:rsidRPr="00F4188D">
        <w:rPr>
          <w:rFonts w:ascii="Calibri" w:hAnsi="Calibri" w:cs="Calibri"/>
          <w:color w:val="0072CE"/>
          <w:szCs w:val="24"/>
        </w:rPr>
        <w:t xml:space="preserve">.  </w:t>
      </w:r>
    </w:p>
    <w:p w14:paraId="021D3346" w14:textId="2EEC588C" w:rsidR="00C56000" w:rsidRPr="00F4188D" w:rsidRDefault="00C56000" w:rsidP="00B12678">
      <w:pPr>
        <w:spacing w:before="120" w:after="120"/>
        <w:ind w:left="720"/>
        <w:jc w:val="both"/>
        <w:rPr>
          <w:rFonts w:ascii="Calibri" w:hAnsi="Calibri" w:cs="Calibri"/>
          <w:color w:val="0072CE"/>
          <w:szCs w:val="24"/>
        </w:rPr>
      </w:pPr>
      <w:r w:rsidRPr="00F4188D">
        <w:rPr>
          <w:rFonts w:ascii="Calibri" w:hAnsi="Calibri" w:cs="Calibri"/>
          <w:color w:val="0072CE"/>
          <w:szCs w:val="24"/>
        </w:rPr>
        <w:t>As part of the pre-tenancy process, the support agency must ensure that the resident is made aware of their r</w:t>
      </w:r>
      <w:r w:rsidR="008025B3">
        <w:rPr>
          <w:rFonts w:ascii="Calibri" w:hAnsi="Calibri" w:cs="Calibri"/>
          <w:color w:val="0072CE"/>
          <w:szCs w:val="24"/>
        </w:rPr>
        <w:t xml:space="preserve">esponsibilities as set </w:t>
      </w:r>
      <w:r w:rsidR="008025B3" w:rsidRPr="00CB68BA">
        <w:rPr>
          <w:rFonts w:ascii="Calibri" w:hAnsi="Calibri" w:cs="Calibri"/>
          <w:color w:val="0072CE"/>
          <w:szCs w:val="24"/>
        </w:rPr>
        <w:t xml:space="preserve">out </w:t>
      </w:r>
      <w:r w:rsidR="00CB68BA" w:rsidRPr="00CB68BA">
        <w:rPr>
          <w:rFonts w:ascii="Calibri" w:hAnsi="Calibri" w:cs="Calibri"/>
          <w:color w:val="0072CE"/>
          <w:szCs w:val="24"/>
        </w:rPr>
        <w:t>in (10</w:t>
      </w:r>
      <w:r w:rsidRPr="00CB68BA">
        <w:rPr>
          <w:rFonts w:ascii="Calibri" w:hAnsi="Calibri" w:cs="Calibri"/>
          <w:color w:val="0072CE"/>
          <w:szCs w:val="24"/>
        </w:rPr>
        <w:t>.</w:t>
      </w:r>
      <w:r w:rsidR="00CB68BA" w:rsidRPr="00CB68BA">
        <w:rPr>
          <w:rFonts w:ascii="Calibri" w:hAnsi="Calibri" w:cs="Calibri"/>
          <w:color w:val="0072CE"/>
          <w:szCs w:val="24"/>
        </w:rPr>
        <w:t xml:space="preserve">6 </w:t>
      </w:r>
      <w:r w:rsidRPr="00CB68BA">
        <w:rPr>
          <w:rFonts w:ascii="Calibri" w:hAnsi="Calibri" w:cs="Calibri"/>
          <w:color w:val="0072CE"/>
          <w:szCs w:val="24"/>
        </w:rPr>
        <w:t xml:space="preserve">to </w:t>
      </w:r>
      <w:r w:rsidR="00CB68BA" w:rsidRPr="00CB68BA">
        <w:rPr>
          <w:rFonts w:ascii="Calibri" w:hAnsi="Calibri" w:cs="Calibri"/>
          <w:color w:val="0072CE"/>
          <w:szCs w:val="24"/>
        </w:rPr>
        <w:t>10</w:t>
      </w:r>
      <w:r w:rsidRPr="00CB68BA">
        <w:rPr>
          <w:rFonts w:ascii="Calibri" w:hAnsi="Calibri" w:cs="Calibri"/>
          <w:color w:val="0072CE"/>
          <w:szCs w:val="24"/>
        </w:rPr>
        <w:t>.</w:t>
      </w:r>
      <w:r w:rsidR="00CB68BA" w:rsidRPr="00CB68BA">
        <w:rPr>
          <w:rFonts w:ascii="Calibri" w:hAnsi="Calibri" w:cs="Calibri"/>
          <w:color w:val="0072CE"/>
          <w:szCs w:val="24"/>
        </w:rPr>
        <w:t>12</w:t>
      </w:r>
      <w:r w:rsidRPr="00CB68BA">
        <w:rPr>
          <w:rFonts w:ascii="Calibri" w:hAnsi="Calibri" w:cs="Calibri"/>
          <w:color w:val="0072CE"/>
          <w:szCs w:val="24"/>
        </w:rPr>
        <w:t>)</w:t>
      </w:r>
      <w:r w:rsidR="00A9235D">
        <w:rPr>
          <w:rFonts w:ascii="Calibri" w:hAnsi="Calibri" w:cs="Calibri"/>
          <w:color w:val="0072CE"/>
          <w:szCs w:val="24"/>
        </w:rPr>
        <w:t>.</w:t>
      </w:r>
    </w:p>
    <w:p w14:paraId="25A3EFBD" w14:textId="77777777" w:rsidR="00C56000" w:rsidRDefault="00C56000" w:rsidP="00B12678">
      <w:pPr>
        <w:spacing w:before="120" w:after="120"/>
        <w:ind w:left="720"/>
        <w:jc w:val="both"/>
        <w:rPr>
          <w:rFonts w:ascii="Calibri" w:hAnsi="Calibri" w:cs="Calibri"/>
          <w:color w:val="0072CE"/>
          <w:szCs w:val="24"/>
        </w:rPr>
      </w:pPr>
      <w:r w:rsidRPr="00F4188D">
        <w:rPr>
          <w:rFonts w:ascii="Calibri" w:hAnsi="Calibri" w:cs="Calibri"/>
          <w:color w:val="0072CE"/>
          <w:szCs w:val="24"/>
        </w:rPr>
        <w:t>Where furniture is provided by a managing agent whether in common areas or as part of a furnished tenancy, furniture will be fire retardant in compliance with the Furniture and Furnishings (Fire Safety) Regulations 1988.</w:t>
      </w:r>
    </w:p>
    <w:p w14:paraId="76E9FB2B" w14:textId="0F0315B8" w:rsidR="008200CD" w:rsidRPr="00F4188D" w:rsidRDefault="008200CD" w:rsidP="00B12678">
      <w:pPr>
        <w:pStyle w:val="Heading1"/>
      </w:pPr>
      <w:bookmarkStart w:id="8" w:name="_Toc79762748"/>
      <w:r>
        <w:t>Employees</w:t>
      </w:r>
      <w:bookmarkEnd w:id="8"/>
      <w:r w:rsidRPr="00F4188D">
        <w:t xml:space="preserve"> </w:t>
      </w:r>
    </w:p>
    <w:p w14:paraId="322A914E" w14:textId="1C0782D7" w:rsidR="008200CD" w:rsidRDefault="008200CD" w:rsidP="00B12678">
      <w:pPr>
        <w:pStyle w:val="Style1"/>
        <w:spacing w:line="240" w:lineRule="auto"/>
      </w:pPr>
      <w:r>
        <w:t xml:space="preserve">All employees, irrespective of their position shall: </w:t>
      </w:r>
    </w:p>
    <w:p w14:paraId="13635405" w14:textId="77777777" w:rsidR="008200CD" w:rsidRPr="00CF2E2B" w:rsidRDefault="008200CD" w:rsidP="00B12678">
      <w:pPr>
        <w:numPr>
          <w:ilvl w:val="0"/>
          <w:numId w:val="1"/>
        </w:numPr>
        <w:ind w:left="1134" w:hanging="283"/>
        <w:jc w:val="both"/>
        <w:rPr>
          <w:rFonts w:ascii="Calibri" w:hAnsi="Calibri" w:cs="Calibri"/>
          <w:color w:val="0072CE"/>
        </w:rPr>
      </w:pPr>
      <w:r w:rsidRPr="00CF2E2B">
        <w:rPr>
          <w:rFonts w:ascii="Calibri" w:hAnsi="Calibri" w:cs="Calibri"/>
          <w:color w:val="0072CE"/>
        </w:rPr>
        <w:t xml:space="preserve">Take reasonable care for their own health and safety and that of other persons who may be adversely affected by </w:t>
      </w:r>
      <w:r w:rsidR="00E67F86" w:rsidRPr="00CF2E2B">
        <w:rPr>
          <w:rFonts w:ascii="Calibri" w:hAnsi="Calibri" w:cs="Calibri"/>
          <w:color w:val="0072CE"/>
        </w:rPr>
        <w:t>fire risk,</w:t>
      </w:r>
      <w:r w:rsidRPr="00CF2E2B">
        <w:rPr>
          <w:rFonts w:ascii="Calibri" w:hAnsi="Calibri" w:cs="Calibri"/>
          <w:color w:val="0072CE"/>
        </w:rPr>
        <w:t xml:space="preserve"> including members of the public, tenants, visitors and contractors</w:t>
      </w:r>
      <w:r w:rsidR="00F64D5F" w:rsidRPr="00CF2E2B">
        <w:rPr>
          <w:rFonts w:ascii="Calibri" w:hAnsi="Calibri" w:cs="Calibri"/>
          <w:color w:val="0072CE"/>
        </w:rPr>
        <w:t>.</w:t>
      </w:r>
      <w:r w:rsidRPr="00CF2E2B">
        <w:rPr>
          <w:rFonts w:ascii="Calibri" w:hAnsi="Calibri" w:cs="Calibri"/>
          <w:color w:val="0072CE"/>
        </w:rPr>
        <w:t xml:space="preserve"> </w:t>
      </w:r>
    </w:p>
    <w:p w14:paraId="649AF8DD" w14:textId="77777777" w:rsidR="008200CD" w:rsidRPr="00CF2E2B" w:rsidRDefault="008200CD" w:rsidP="00B12678">
      <w:pPr>
        <w:numPr>
          <w:ilvl w:val="0"/>
          <w:numId w:val="1"/>
        </w:numPr>
        <w:ind w:left="1134" w:hanging="283"/>
        <w:jc w:val="both"/>
        <w:rPr>
          <w:rFonts w:ascii="Calibri" w:hAnsi="Calibri" w:cs="Calibri"/>
          <w:color w:val="0072CE"/>
        </w:rPr>
      </w:pPr>
      <w:r w:rsidRPr="00CF2E2B">
        <w:rPr>
          <w:rFonts w:ascii="Calibri" w:hAnsi="Calibri" w:cs="Calibri"/>
          <w:color w:val="0072CE"/>
        </w:rPr>
        <w:t>Co-operate as appropriate with other staff and agencies to ensure compliance with this policy and all other legal requirements</w:t>
      </w:r>
      <w:r w:rsidR="00F64D5F" w:rsidRPr="00CF2E2B">
        <w:rPr>
          <w:rFonts w:ascii="Calibri" w:hAnsi="Calibri" w:cs="Calibri"/>
          <w:color w:val="0072CE"/>
        </w:rPr>
        <w:t>.</w:t>
      </w:r>
      <w:r w:rsidRPr="00CF2E2B">
        <w:rPr>
          <w:rFonts w:ascii="Calibri" w:hAnsi="Calibri" w:cs="Calibri"/>
          <w:color w:val="0072CE"/>
        </w:rPr>
        <w:t xml:space="preserve"> </w:t>
      </w:r>
    </w:p>
    <w:p w14:paraId="284A2734" w14:textId="0FFC09A5" w:rsidR="006D4FF1" w:rsidRPr="00CF2E2B" w:rsidRDefault="006D4FF1" w:rsidP="00B12678">
      <w:pPr>
        <w:numPr>
          <w:ilvl w:val="0"/>
          <w:numId w:val="1"/>
        </w:numPr>
        <w:ind w:left="1134" w:hanging="283"/>
        <w:jc w:val="both"/>
        <w:rPr>
          <w:rFonts w:ascii="Calibri" w:hAnsi="Calibri" w:cs="Calibri"/>
          <w:color w:val="0072CE"/>
        </w:rPr>
      </w:pPr>
      <w:r w:rsidRPr="00CF2E2B">
        <w:rPr>
          <w:rFonts w:ascii="Calibri" w:hAnsi="Calibri" w:cs="Calibri"/>
          <w:color w:val="0072CE"/>
        </w:rPr>
        <w:t>All staff should look out for danger signs and fire hazards, such as damaged fire protection equipment and blocked exits</w:t>
      </w:r>
      <w:r w:rsidR="00870E5F" w:rsidRPr="00CF2E2B">
        <w:rPr>
          <w:rFonts w:ascii="Calibri" w:hAnsi="Calibri" w:cs="Calibri"/>
          <w:color w:val="0072CE"/>
        </w:rPr>
        <w:t xml:space="preserve"> and report these for remedial work or action to be taken to the Building Safety Manager</w:t>
      </w:r>
      <w:r w:rsidRPr="00CF2E2B">
        <w:rPr>
          <w:rFonts w:ascii="Calibri" w:hAnsi="Calibri" w:cs="Calibri"/>
          <w:color w:val="0072CE"/>
        </w:rPr>
        <w:t>.</w:t>
      </w:r>
    </w:p>
    <w:p w14:paraId="3FCEC577" w14:textId="77777777" w:rsidR="008200CD" w:rsidRPr="00CF2E2B" w:rsidRDefault="006D4FF1" w:rsidP="00B12678">
      <w:pPr>
        <w:numPr>
          <w:ilvl w:val="0"/>
          <w:numId w:val="1"/>
        </w:numPr>
        <w:spacing w:after="120"/>
        <w:ind w:left="1135" w:hanging="284"/>
        <w:jc w:val="both"/>
        <w:rPr>
          <w:rFonts w:ascii="Calibri" w:hAnsi="Calibri" w:cs="Calibri"/>
          <w:color w:val="0072CE"/>
        </w:rPr>
      </w:pPr>
      <w:r w:rsidRPr="00CF2E2B">
        <w:rPr>
          <w:rFonts w:ascii="Calibri" w:hAnsi="Calibri" w:cs="Calibri"/>
          <w:color w:val="0072CE"/>
        </w:rPr>
        <w:t>All staff should r</w:t>
      </w:r>
      <w:r w:rsidR="008200CD" w:rsidRPr="00CF2E2B">
        <w:rPr>
          <w:rFonts w:ascii="Calibri" w:hAnsi="Calibri" w:cs="Calibri"/>
          <w:color w:val="0072CE"/>
        </w:rPr>
        <w:t xml:space="preserve">eport any concerns that they may have in relation to the management of </w:t>
      </w:r>
      <w:r w:rsidR="00E67F86" w:rsidRPr="00CF2E2B">
        <w:rPr>
          <w:rFonts w:ascii="Calibri" w:hAnsi="Calibri" w:cs="Calibri"/>
          <w:color w:val="0072CE"/>
        </w:rPr>
        <w:t>fire risk</w:t>
      </w:r>
      <w:r w:rsidR="00E46FBC" w:rsidRPr="00CF2E2B">
        <w:rPr>
          <w:rFonts w:ascii="Calibri" w:hAnsi="Calibri" w:cs="Calibri"/>
          <w:color w:val="0072CE"/>
        </w:rPr>
        <w:t xml:space="preserve"> to the Operations Director or Chief Executive</w:t>
      </w:r>
      <w:r w:rsidR="000F47FA" w:rsidRPr="00CF2E2B">
        <w:rPr>
          <w:rFonts w:ascii="Calibri" w:hAnsi="Calibri" w:cs="Calibri"/>
          <w:color w:val="0072CE"/>
        </w:rPr>
        <w:t>.</w:t>
      </w:r>
    </w:p>
    <w:p w14:paraId="7A7A3C52" w14:textId="4647D554" w:rsidR="00E67F86" w:rsidRPr="00F4188D" w:rsidRDefault="00455E45" w:rsidP="00B12678">
      <w:pPr>
        <w:pStyle w:val="Heading1"/>
      </w:pPr>
      <w:bookmarkStart w:id="9" w:name="_Toc79762749"/>
      <w:r>
        <w:t xml:space="preserve">Resident Engagement - </w:t>
      </w:r>
      <w:r w:rsidR="00E67F86">
        <w:t>Tenants</w:t>
      </w:r>
      <w:r w:rsidR="00E67F86" w:rsidRPr="00F4188D">
        <w:t xml:space="preserve"> </w:t>
      </w:r>
      <w:r w:rsidR="00694DC4">
        <w:t>and Leaseholders</w:t>
      </w:r>
      <w:bookmarkEnd w:id="9"/>
    </w:p>
    <w:p w14:paraId="5ECB7679" w14:textId="1CA9304C" w:rsidR="00E67F86" w:rsidRPr="00BF17E1" w:rsidRDefault="00E67F86" w:rsidP="00B12678">
      <w:pPr>
        <w:pStyle w:val="Style1"/>
        <w:spacing w:line="240" w:lineRule="auto"/>
      </w:pPr>
      <w:r w:rsidRPr="00BF17E1">
        <w:t>This policy is to be read in conjunction with current Tenancy Agreement</w:t>
      </w:r>
      <w:r w:rsidR="006B4143">
        <w:t xml:space="preserve"> and Lease Agreement</w:t>
      </w:r>
      <w:r w:rsidRPr="00BF17E1">
        <w:t xml:space="preserve"> conditions</w:t>
      </w:r>
      <w:r w:rsidR="006B4143">
        <w:t>.</w:t>
      </w:r>
      <w:r w:rsidRPr="00BF17E1">
        <w:t xml:space="preserve"> </w:t>
      </w:r>
    </w:p>
    <w:p w14:paraId="3E8CE1D0" w14:textId="4085C7BB" w:rsidR="00FF5804" w:rsidRDefault="00FF5804" w:rsidP="00B12678">
      <w:pPr>
        <w:pStyle w:val="Style1"/>
        <w:spacing w:line="240" w:lineRule="auto"/>
      </w:pPr>
      <w:r w:rsidRPr="00F4188D">
        <w:lastRenderedPageBreak/>
        <w:t xml:space="preserve">We will publicise the importance of fire safety to all residents, regardless of tenure, but generally, the responsibility for safety in all individual private domestic properties falls on the individual rather than on us including carrying out regular tests of their individual fire detection system. </w:t>
      </w:r>
    </w:p>
    <w:p w14:paraId="0CAA1B81" w14:textId="7DDB6DBE" w:rsidR="00CF44C8" w:rsidRDefault="00CF44C8" w:rsidP="00B12678">
      <w:pPr>
        <w:pStyle w:val="Style1"/>
        <w:spacing w:line="240" w:lineRule="auto"/>
      </w:pPr>
      <w:r>
        <w:t xml:space="preserve">A Resident Engagement Strategy will be </w:t>
      </w:r>
      <w:r w:rsidRPr="00CF44C8">
        <w:t>developed for each block in line with the Building Safety Bill 2021 and the Fire Safety Act 2021</w:t>
      </w:r>
      <w:r>
        <w:t>; the Building Safety Manager will proactively engage and communicate with all residents making sure they are kept informed and able to participate in decision making regarding the safety of their building.</w:t>
      </w:r>
    </w:p>
    <w:p w14:paraId="41ADB18C" w14:textId="62102862" w:rsidR="00CB68BA" w:rsidRDefault="00CB68BA" w:rsidP="00CB68BA">
      <w:pPr>
        <w:pStyle w:val="Style1"/>
        <w:spacing w:line="240" w:lineRule="auto"/>
      </w:pPr>
      <w:r>
        <w:t xml:space="preserve">The </w:t>
      </w:r>
      <w:r w:rsidR="00BD1174">
        <w:t>Resident</w:t>
      </w:r>
      <w:r w:rsidRPr="001D252D">
        <w:t xml:space="preserve"> Engagement Strategy</w:t>
      </w:r>
      <w:r>
        <w:t xml:space="preserve"> will be implemented</w:t>
      </w:r>
      <w:r w:rsidRPr="001D252D">
        <w:t xml:space="preserve"> </w:t>
      </w:r>
      <w:r>
        <w:t xml:space="preserve">to support </w:t>
      </w:r>
      <w:r w:rsidRPr="001D252D">
        <w:t>residents in the safe management of their building</w:t>
      </w:r>
      <w:r>
        <w:t xml:space="preserve">, including being proactive and sharing details of the Fire Management Plan to provide and enable residents to: </w:t>
      </w:r>
    </w:p>
    <w:p w14:paraId="3F811556" w14:textId="06041AEB" w:rsidR="00CB68BA" w:rsidRDefault="00CB68BA" w:rsidP="00CB68BA">
      <w:pPr>
        <w:pStyle w:val="BodyText"/>
        <w:numPr>
          <w:ilvl w:val="0"/>
          <w:numId w:val="2"/>
        </w:numPr>
        <w:ind w:left="1276"/>
        <w:rPr>
          <w:rFonts w:ascii="Calibri" w:hAnsi="Calibri" w:cs="Calibri"/>
          <w:color w:val="0072CE"/>
        </w:rPr>
      </w:pPr>
      <w:r>
        <w:rPr>
          <w:rFonts w:ascii="Calibri" w:hAnsi="Calibri" w:cs="Calibri"/>
          <w:color w:val="0072CE"/>
        </w:rPr>
        <w:t xml:space="preserve">Understand </w:t>
      </w:r>
      <w:r w:rsidRPr="001D5D93">
        <w:rPr>
          <w:rFonts w:ascii="Calibri" w:hAnsi="Calibri" w:cs="Calibri"/>
          <w:color w:val="0072CE"/>
        </w:rPr>
        <w:t xml:space="preserve">how core information about building safety will be </w:t>
      </w:r>
      <w:r w:rsidR="00282841" w:rsidRPr="001D5D93">
        <w:rPr>
          <w:rFonts w:ascii="Calibri" w:hAnsi="Calibri" w:cs="Calibri"/>
          <w:color w:val="0072CE"/>
        </w:rPr>
        <w:t>shared</w:t>
      </w:r>
      <w:r w:rsidR="00282841">
        <w:rPr>
          <w:rFonts w:ascii="Calibri" w:hAnsi="Calibri" w:cs="Calibri"/>
          <w:color w:val="0072CE"/>
        </w:rPr>
        <w:t>.</w:t>
      </w:r>
    </w:p>
    <w:p w14:paraId="561C5709" w14:textId="405C8FC0" w:rsidR="00CB68BA" w:rsidRDefault="00CB68BA" w:rsidP="00CB68BA">
      <w:pPr>
        <w:pStyle w:val="BodyText"/>
        <w:numPr>
          <w:ilvl w:val="0"/>
          <w:numId w:val="2"/>
        </w:numPr>
        <w:ind w:left="1276"/>
        <w:rPr>
          <w:rFonts w:ascii="Calibri" w:hAnsi="Calibri" w:cs="Calibri"/>
          <w:color w:val="0072CE"/>
        </w:rPr>
      </w:pPr>
      <w:r>
        <w:rPr>
          <w:rFonts w:ascii="Calibri" w:hAnsi="Calibri" w:cs="Calibri"/>
          <w:color w:val="0072CE"/>
        </w:rPr>
        <w:t>Make</w:t>
      </w:r>
      <w:r w:rsidRPr="001D5D93">
        <w:rPr>
          <w:rFonts w:ascii="Calibri" w:hAnsi="Calibri" w:cs="Calibri"/>
          <w:color w:val="0072CE"/>
        </w:rPr>
        <w:t xml:space="preserve"> information about building safety available to residents on </w:t>
      </w:r>
      <w:r w:rsidR="00282841" w:rsidRPr="001D5D93">
        <w:rPr>
          <w:rFonts w:ascii="Calibri" w:hAnsi="Calibri" w:cs="Calibri"/>
          <w:color w:val="0072CE"/>
        </w:rPr>
        <w:t>request.</w:t>
      </w:r>
    </w:p>
    <w:p w14:paraId="1843E976" w14:textId="3B8E675D" w:rsidR="00CB68BA" w:rsidRDefault="00CB68BA" w:rsidP="00CB68BA">
      <w:pPr>
        <w:pStyle w:val="BodyText"/>
        <w:numPr>
          <w:ilvl w:val="0"/>
          <w:numId w:val="2"/>
        </w:numPr>
        <w:ind w:left="1276"/>
        <w:rPr>
          <w:rFonts w:ascii="Calibri" w:hAnsi="Calibri" w:cs="Calibri"/>
          <w:color w:val="0072CE"/>
        </w:rPr>
      </w:pPr>
      <w:r>
        <w:rPr>
          <w:rFonts w:ascii="Calibri" w:hAnsi="Calibri" w:cs="Calibri"/>
          <w:color w:val="0072CE"/>
        </w:rPr>
        <w:t>C</w:t>
      </w:r>
      <w:r w:rsidRPr="001D5D93">
        <w:rPr>
          <w:rFonts w:ascii="Calibri" w:hAnsi="Calibri" w:cs="Calibri"/>
          <w:color w:val="0072CE"/>
        </w:rPr>
        <w:t>ommunicat</w:t>
      </w:r>
      <w:r>
        <w:rPr>
          <w:rFonts w:ascii="Calibri" w:hAnsi="Calibri" w:cs="Calibri"/>
          <w:color w:val="0072CE"/>
        </w:rPr>
        <w:t xml:space="preserve">e with Arches through different </w:t>
      </w:r>
      <w:r w:rsidRPr="001D5D93">
        <w:rPr>
          <w:rFonts w:ascii="Calibri" w:hAnsi="Calibri" w:cs="Calibri"/>
          <w:color w:val="0072CE"/>
        </w:rPr>
        <w:t xml:space="preserve">channels and forums </w:t>
      </w:r>
      <w:r>
        <w:rPr>
          <w:rFonts w:ascii="Calibri" w:hAnsi="Calibri" w:cs="Calibri"/>
          <w:color w:val="0072CE"/>
        </w:rPr>
        <w:t>(which will also be used for</w:t>
      </w:r>
      <w:r w:rsidRPr="001D5D93">
        <w:rPr>
          <w:rFonts w:ascii="Calibri" w:hAnsi="Calibri" w:cs="Calibri"/>
          <w:color w:val="0072CE"/>
        </w:rPr>
        <w:t xml:space="preserve"> information</w:t>
      </w:r>
      <w:r>
        <w:rPr>
          <w:rFonts w:ascii="Calibri" w:hAnsi="Calibri" w:cs="Calibri"/>
          <w:color w:val="0072CE"/>
        </w:rPr>
        <w:t xml:space="preserve"> to</w:t>
      </w:r>
      <w:r w:rsidRPr="001D5D93">
        <w:rPr>
          <w:rFonts w:ascii="Calibri" w:hAnsi="Calibri" w:cs="Calibri"/>
          <w:color w:val="0072CE"/>
        </w:rPr>
        <w:t xml:space="preserve"> be shared</w:t>
      </w:r>
      <w:r w:rsidR="00282841">
        <w:rPr>
          <w:rFonts w:ascii="Calibri" w:hAnsi="Calibri" w:cs="Calibri"/>
          <w:color w:val="0072CE"/>
        </w:rPr>
        <w:t>)</w:t>
      </w:r>
      <w:r w:rsidR="00282841" w:rsidRPr="001D5D93">
        <w:rPr>
          <w:rFonts w:ascii="Calibri" w:hAnsi="Calibri" w:cs="Calibri"/>
          <w:color w:val="0072CE"/>
        </w:rPr>
        <w:t>.</w:t>
      </w:r>
    </w:p>
    <w:p w14:paraId="00600AA5" w14:textId="2A2B3FD6" w:rsidR="00CB68BA" w:rsidRDefault="00CB68BA" w:rsidP="00CB68BA">
      <w:pPr>
        <w:pStyle w:val="BodyText"/>
        <w:numPr>
          <w:ilvl w:val="0"/>
          <w:numId w:val="2"/>
        </w:numPr>
        <w:ind w:left="1276"/>
        <w:rPr>
          <w:rFonts w:ascii="Calibri" w:hAnsi="Calibri" w:cs="Calibri"/>
          <w:color w:val="0072CE"/>
        </w:rPr>
      </w:pPr>
      <w:r>
        <w:rPr>
          <w:rFonts w:ascii="Calibri" w:hAnsi="Calibri" w:cs="Calibri"/>
          <w:color w:val="0072CE"/>
        </w:rPr>
        <w:t xml:space="preserve">Know </w:t>
      </w:r>
      <w:r w:rsidRPr="001D5D93">
        <w:rPr>
          <w:rFonts w:ascii="Calibri" w:hAnsi="Calibri" w:cs="Calibri"/>
          <w:color w:val="0072CE"/>
        </w:rPr>
        <w:t xml:space="preserve">how </w:t>
      </w:r>
      <w:r>
        <w:rPr>
          <w:rFonts w:ascii="Calibri" w:hAnsi="Calibri" w:cs="Calibri"/>
          <w:color w:val="0072CE"/>
        </w:rPr>
        <w:t>they can</w:t>
      </w:r>
      <w:r w:rsidRPr="001D5D93">
        <w:rPr>
          <w:rFonts w:ascii="Calibri" w:hAnsi="Calibri" w:cs="Calibri"/>
          <w:color w:val="0072CE"/>
        </w:rPr>
        <w:t xml:space="preserve"> be involved in decisions about their building’s safety, particularly during any</w:t>
      </w:r>
      <w:r>
        <w:rPr>
          <w:rFonts w:ascii="Calibri" w:hAnsi="Calibri" w:cs="Calibri"/>
          <w:color w:val="0072CE"/>
        </w:rPr>
        <w:t xml:space="preserve"> major works or</w:t>
      </w:r>
      <w:r w:rsidRPr="001D5D93">
        <w:rPr>
          <w:rFonts w:ascii="Calibri" w:hAnsi="Calibri" w:cs="Calibri"/>
          <w:color w:val="0072CE"/>
        </w:rPr>
        <w:t xml:space="preserve"> </w:t>
      </w:r>
      <w:r w:rsidR="00282841" w:rsidRPr="001D5D93">
        <w:rPr>
          <w:rFonts w:ascii="Calibri" w:hAnsi="Calibri" w:cs="Calibri"/>
          <w:color w:val="0072CE"/>
        </w:rPr>
        <w:t>refurbishment.</w:t>
      </w:r>
    </w:p>
    <w:p w14:paraId="7F8506F2" w14:textId="0EE35392" w:rsidR="00CB68BA" w:rsidRDefault="00CB68BA" w:rsidP="00CB68BA">
      <w:pPr>
        <w:pStyle w:val="BodyText"/>
        <w:numPr>
          <w:ilvl w:val="0"/>
          <w:numId w:val="2"/>
        </w:numPr>
        <w:ind w:left="1276"/>
        <w:rPr>
          <w:rFonts w:ascii="Calibri" w:hAnsi="Calibri" w:cs="Calibri"/>
          <w:color w:val="0072CE"/>
        </w:rPr>
      </w:pPr>
      <w:r>
        <w:rPr>
          <w:rFonts w:ascii="Calibri" w:hAnsi="Calibri" w:cs="Calibri"/>
          <w:color w:val="0072CE"/>
        </w:rPr>
        <w:t xml:space="preserve">Be aware of </w:t>
      </w:r>
      <w:r w:rsidRPr="001D5D93">
        <w:rPr>
          <w:rFonts w:ascii="Calibri" w:hAnsi="Calibri" w:cs="Calibri"/>
          <w:color w:val="0072CE"/>
        </w:rPr>
        <w:t>how complaints about safety will be handled effectively and efficiently</w:t>
      </w:r>
      <w:r>
        <w:rPr>
          <w:rFonts w:ascii="Calibri" w:hAnsi="Calibri" w:cs="Calibri"/>
          <w:color w:val="0072CE"/>
        </w:rPr>
        <w:t xml:space="preserve"> including timescales for initial response, investigation and final </w:t>
      </w:r>
      <w:r w:rsidR="00282841">
        <w:rPr>
          <w:rFonts w:ascii="Calibri" w:hAnsi="Calibri" w:cs="Calibri"/>
          <w:color w:val="0072CE"/>
        </w:rPr>
        <w:t>resolution</w:t>
      </w:r>
      <w:r w:rsidR="00282841" w:rsidRPr="001D5D93">
        <w:rPr>
          <w:rFonts w:ascii="Calibri" w:hAnsi="Calibri" w:cs="Calibri"/>
          <w:color w:val="0072CE"/>
        </w:rPr>
        <w:t>.</w:t>
      </w:r>
    </w:p>
    <w:p w14:paraId="2D687C29" w14:textId="0BCD18B9" w:rsidR="00CB68BA" w:rsidRDefault="00CB68BA" w:rsidP="00CB68BA">
      <w:pPr>
        <w:pStyle w:val="BodyText"/>
        <w:numPr>
          <w:ilvl w:val="0"/>
          <w:numId w:val="2"/>
        </w:numPr>
        <w:ind w:left="1276"/>
        <w:rPr>
          <w:rFonts w:ascii="Calibri" w:hAnsi="Calibri" w:cs="Calibri"/>
          <w:color w:val="0072CE"/>
        </w:rPr>
      </w:pPr>
      <w:r>
        <w:rPr>
          <w:rFonts w:ascii="Calibri" w:hAnsi="Calibri" w:cs="Calibri"/>
          <w:color w:val="0072CE"/>
        </w:rPr>
        <w:t>B</w:t>
      </w:r>
      <w:r w:rsidRPr="001D5D93">
        <w:rPr>
          <w:rFonts w:ascii="Calibri" w:hAnsi="Calibri" w:cs="Calibri"/>
          <w:color w:val="0072CE"/>
        </w:rPr>
        <w:t xml:space="preserve">e informed about their own safety responsibilities, and how these will be </w:t>
      </w:r>
      <w:r w:rsidR="00282841" w:rsidRPr="001D5D93">
        <w:rPr>
          <w:rFonts w:ascii="Calibri" w:hAnsi="Calibri" w:cs="Calibri"/>
          <w:color w:val="0072CE"/>
        </w:rPr>
        <w:t>managed.</w:t>
      </w:r>
    </w:p>
    <w:p w14:paraId="1C6FF7B4" w14:textId="3C2260C7" w:rsidR="00CB68BA" w:rsidRPr="003D58F3" w:rsidRDefault="00CB68BA" w:rsidP="00CB68BA">
      <w:pPr>
        <w:pStyle w:val="BodyText"/>
        <w:numPr>
          <w:ilvl w:val="0"/>
          <w:numId w:val="2"/>
        </w:numPr>
        <w:ind w:left="1276"/>
        <w:rPr>
          <w:rFonts w:ascii="Calibri" w:hAnsi="Calibri" w:cs="Calibri"/>
          <w:color w:val="0072CE"/>
        </w:rPr>
      </w:pPr>
      <w:r w:rsidRPr="003D58F3">
        <w:rPr>
          <w:rFonts w:ascii="Calibri" w:hAnsi="Calibri" w:cs="Calibri"/>
          <w:color w:val="0072CE"/>
        </w:rPr>
        <w:t xml:space="preserve">Awareness that they have a statutory duty to co-operate with the Fire Management Plan of the building which if not met could result in legal action if it is determined that their actions that could pose a risk to the fire and structural safety of the building for </w:t>
      </w:r>
      <w:r w:rsidR="00282841" w:rsidRPr="003D58F3">
        <w:rPr>
          <w:rFonts w:ascii="Calibri" w:hAnsi="Calibri" w:cs="Calibri"/>
          <w:color w:val="0072CE"/>
        </w:rPr>
        <w:t>example: -</w:t>
      </w:r>
    </w:p>
    <w:p w14:paraId="0E7E80D2" w14:textId="28A4E231" w:rsidR="00CB68BA" w:rsidRDefault="00CB68BA" w:rsidP="00CB68BA">
      <w:pPr>
        <w:pStyle w:val="ListParagraph"/>
        <w:numPr>
          <w:ilvl w:val="0"/>
          <w:numId w:val="7"/>
        </w:numPr>
        <w:rPr>
          <w:rFonts w:ascii="Calibri" w:hAnsi="Calibri" w:cs="Calibri"/>
          <w:color w:val="0072CE"/>
          <w:szCs w:val="24"/>
        </w:rPr>
      </w:pPr>
      <w:r w:rsidRPr="003C1DBA">
        <w:rPr>
          <w:rFonts w:ascii="Calibri" w:hAnsi="Calibri" w:cs="Calibri"/>
          <w:color w:val="0072CE"/>
          <w:szCs w:val="24"/>
        </w:rPr>
        <w:t xml:space="preserve">making structural alterations to their flats, such as removing supporting walls, that undermine the structural integrity or compartmentation of the </w:t>
      </w:r>
      <w:r w:rsidR="00282841" w:rsidRPr="003C1DBA">
        <w:rPr>
          <w:rFonts w:ascii="Calibri" w:hAnsi="Calibri" w:cs="Calibri"/>
          <w:color w:val="0072CE"/>
          <w:szCs w:val="24"/>
        </w:rPr>
        <w:t>building or</w:t>
      </w:r>
      <w:r w:rsidRPr="003C1DBA">
        <w:rPr>
          <w:rFonts w:ascii="Calibri" w:hAnsi="Calibri" w:cs="Calibri"/>
          <w:color w:val="0072CE"/>
          <w:szCs w:val="24"/>
        </w:rPr>
        <w:t xml:space="preserve"> failing to put right dangerous alterations that they are liable </w:t>
      </w:r>
      <w:r w:rsidR="00282841" w:rsidRPr="003C1DBA">
        <w:rPr>
          <w:rFonts w:ascii="Calibri" w:hAnsi="Calibri" w:cs="Calibri"/>
          <w:color w:val="0072CE"/>
          <w:szCs w:val="24"/>
        </w:rPr>
        <w:t>for.</w:t>
      </w:r>
    </w:p>
    <w:p w14:paraId="2620B642" w14:textId="40524B74" w:rsidR="00CB68BA" w:rsidRDefault="00CB68BA" w:rsidP="00CB68BA">
      <w:pPr>
        <w:pStyle w:val="ListParagraph"/>
        <w:numPr>
          <w:ilvl w:val="0"/>
          <w:numId w:val="7"/>
        </w:numPr>
        <w:rPr>
          <w:rFonts w:ascii="Calibri" w:hAnsi="Calibri" w:cs="Calibri"/>
          <w:color w:val="0072CE"/>
          <w:szCs w:val="24"/>
        </w:rPr>
      </w:pPr>
      <w:r w:rsidRPr="003C1DBA">
        <w:rPr>
          <w:rFonts w:ascii="Calibri" w:hAnsi="Calibri" w:cs="Calibri"/>
          <w:color w:val="0072CE"/>
          <w:szCs w:val="24"/>
        </w:rPr>
        <w:t xml:space="preserve">removing and replacing compliant fire doors or </w:t>
      </w:r>
      <w:r w:rsidR="00282841" w:rsidRPr="003C1DBA">
        <w:rPr>
          <w:rFonts w:ascii="Calibri" w:hAnsi="Calibri" w:cs="Calibri"/>
          <w:color w:val="0072CE"/>
          <w:szCs w:val="24"/>
        </w:rPr>
        <w:t>windows.</w:t>
      </w:r>
    </w:p>
    <w:p w14:paraId="4FFCBDC5" w14:textId="2875E629" w:rsidR="00CB68BA" w:rsidRDefault="00CB68BA" w:rsidP="00CB68BA">
      <w:pPr>
        <w:pStyle w:val="ListParagraph"/>
        <w:numPr>
          <w:ilvl w:val="0"/>
          <w:numId w:val="7"/>
        </w:numPr>
        <w:rPr>
          <w:rFonts w:ascii="Calibri" w:hAnsi="Calibri" w:cs="Calibri"/>
          <w:color w:val="0072CE"/>
          <w:szCs w:val="24"/>
        </w:rPr>
      </w:pPr>
      <w:r w:rsidRPr="003C1DBA">
        <w:rPr>
          <w:rFonts w:ascii="Calibri" w:hAnsi="Calibri" w:cs="Calibri"/>
          <w:color w:val="0072CE"/>
          <w:szCs w:val="24"/>
        </w:rPr>
        <w:t xml:space="preserve">damaging or removing fire safety features in the common parts of a building, such as fire extinguishers, sprinklers or alarm </w:t>
      </w:r>
      <w:r w:rsidR="00282841" w:rsidRPr="003C1DBA">
        <w:rPr>
          <w:rFonts w:ascii="Calibri" w:hAnsi="Calibri" w:cs="Calibri"/>
          <w:color w:val="0072CE"/>
          <w:szCs w:val="24"/>
        </w:rPr>
        <w:t>systems.</w:t>
      </w:r>
    </w:p>
    <w:p w14:paraId="2E090675" w14:textId="77777777" w:rsidR="00CB68BA" w:rsidRPr="003C1DBA" w:rsidRDefault="00CB68BA" w:rsidP="00CB68BA">
      <w:pPr>
        <w:pStyle w:val="ListParagraph"/>
        <w:numPr>
          <w:ilvl w:val="0"/>
          <w:numId w:val="7"/>
        </w:numPr>
        <w:rPr>
          <w:rFonts w:ascii="Calibri" w:hAnsi="Calibri" w:cs="Calibri"/>
          <w:color w:val="0072CE"/>
          <w:szCs w:val="24"/>
        </w:rPr>
      </w:pPr>
      <w:r w:rsidRPr="003C1DBA">
        <w:rPr>
          <w:rFonts w:ascii="Calibri" w:hAnsi="Calibri" w:cs="Calibri"/>
          <w:color w:val="0072CE"/>
          <w:szCs w:val="24"/>
        </w:rPr>
        <w:t xml:space="preserve">hindering or frustrating the </w:t>
      </w:r>
      <w:r>
        <w:rPr>
          <w:rFonts w:ascii="Calibri" w:hAnsi="Calibri" w:cs="Calibri"/>
          <w:color w:val="0072CE"/>
          <w:szCs w:val="24"/>
        </w:rPr>
        <w:t>“</w:t>
      </w:r>
      <w:r w:rsidRPr="003C1DBA">
        <w:rPr>
          <w:rFonts w:ascii="Calibri" w:hAnsi="Calibri" w:cs="Calibri"/>
          <w:color w:val="0072CE"/>
          <w:szCs w:val="24"/>
        </w:rPr>
        <w:t>Building Safety Manager</w:t>
      </w:r>
      <w:r>
        <w:rPr>
          <w:rFonts w:ascii="Calibri" w:hAnsi="Calibri" w:cs="Calibri"/>
          <w:color w:val="0072CE"/>
          <w:szCs w:val="24"/>
        </w:rPr>
        <w:t>”</w:t>
      </w:r>
      <w:r w:rsidRPr="003C1DBA">
        <w:rPr>
          <w:rFonts w:ascii="Calibri" w:hAnsi="Calibri" w:cs="Calibri"/>
          <w:color w:val="0072CE"/>
          <w:szCs w:val="24"/>
        </w:rPr>
        <w:t xml:space="preserve"> in the performance of their duty to maintain the fire and structural integrity of the building and keep residents safe.</w:t>
      </w:r>
    </w:p>
    <w:p w14:paraId="2B4992D1" w14:textId="77777777" w:rsidR="00CB68BA" w:rsidRDefault="00CB68BA" w:rsidP="00CB68BA">
      <w:pPr>
        <w:pStyle w:val="BodyText"/>
        <w:numPr>
          <w:ilvl w:val="0"/>
          <w:numId w:val="2"/>
        </w:numPr>
        <w:ind w:left="1276"/>
        <w:rPr>
          <w:rFonts w:ascii="Calibri" w:hAnsi="Calibri" w:cs="Calibri"/>
          <w:color w:val="0072CE"/>
        </w:rPr>
      </w:pPr>
      <w:r>
        <w:rPr>
          <w:rFonts w:ascii="Calibri" w:hAnsi="Calibri" w:cs="Calibri"/>
          <w:color w:val="0072CE"/>
        </w:rPr>
        <w:t xml:space="preserve">See </w:t>
      </w:r>
      <w:r w:rsidRPr="001D5D93">
        <w:rPr>
          <w:rFonts w:ascii="Calibri" w:hAnsi="Calibri" w:cs="Calibri"/>
          <w:color w:val="0072CE"/>
        </w:rPr>
        <w:t xml:space="preserve">what steps will be taken to ensure the engagement takes account of the diverse needs of </w:t>
      </w:r>
      <w:r>
        <w:rPr>
          <w:rFonts w:ascii="Calibri" w:hAnsi="Calibri" w:cs="Calibri"/>
          <w:color w:val="0072CE"/>
        </w:rPr>
        <w:t>residen</w:t>
      </w:r>
      <w:r w:rsidRPr="001D5D93">
        <w:rPr>
          <w:rFonts w:ascii="Calibri" w:hAnsi="Calibri" w:cs="Calibri"/>
          <w:color w:val="0072CE"/>
        </w:rPr>
        <w:t>ts; and</w:t>
      </w:r>
    </w:p>
    <w:p w14:paraId="40922D60" w14:textId="77777777" w:rsidR="00CB68BA" w:rsidRDefault="00CB68BA" w:rsidP="00CB68BA">
      <w:pPr>
        <w:pStyle w:val="BodyText"/>
        <w:numPr>
          <w:ilvl w:val="0"/>
          <w:numId w:val="2"/>
        </w:numPr>
        <w:spacing w:after="120"/>
        <w:ind w:left="1276" w:hanging="357"/>
        <w:rPr>
          <w:rFonts w:ascii="Calibri" w:hAnsi="Calibri" w:cs="Calibri"/>
          <w:color w:val="0072CE"/>
        </w:rPr>
      </w:pPr>
      <w:r w:rsidRPr="0096510C">
        <w:rPr>
          <w:rFonts w:ascii="Calibri" w:hAnsi="Calibri" w:cs="Calibri"/>
          <w:color w:val="0072CE"/>
        </w:rPr>
        <w:t>Know how implementation of the strategy will be measured.</w:t>
      </w:r>
    </w:p>
    <w:p w14:paraId="3DBFCAF2" w14:textId="4F75ED05" w:rsidR="00FF5804" w:rsidRPr="00F4188D" w:rsidRDefault="00B26846" w:rsidP="00B12678">
      <w:pPr>
        <w:pStyle w:val="Style1"/>
        <w:spacing w:line="240" w:lineRule="auto"/>
      </w:pPr>
      <w:r>
        <w:t>T</w:t>
      </w:r>
      <w:r w:rsidR="0091496A">
        <w:t>h</w:t>
      </w:r>
      <w:r w:rsidR="00134944">
        <w:t xml:space="preserve">e Fire Safety Act 2021 includes </w:t>
      </w:r>
      <w:r w:rsidR="00134944" w:rsidRPr="00D71799">
        <w:t xml:space="preserve">a statutory duty </w:t>
      </w:r>
      <w:r w:rsidR="00134944">
        <w:t xml:space="preserve">for tenants and leaseholders </w:t>
      </w:r>
      <w:r w:rsidR="00134944" w:rsidRPr="00D71799">
        <w:t>to co-operate with the Fire Management Plan of the building which if not met could result in legal action if it is determined that their actions that could pose a risk to the fire and st</w:t>
      </w:r>
      <w:r w:rsidR="00134944">
        <w:t xml:space="preserve">ructural safety of the building; </w:t>
      </w:r>
      <w:r w:rsidR="00FF5804" w:rsidRPr="00F4188D">
        <w:t xml:space="preserve">residents must ensure they </w:t>
      </w:r>
      <w:r w:rsidR="00CF44C8">
        <w:t xml:space="preserve">understand their safety responsibilities and </w:t>
      </w:r>
      <w:r w:rsidR="00FF5804" w:rsidRPr="00F4188D">
        <w:t>behave responsibly</w:t>
      </w:r>
      <w:r w:rsidR="001741CA">
        <w:t>.</w:t>
      </w:r>
      <w:r w:rsidR="00FF5804" w:rsidRPr="00F4188D">
        <w:t xml:space="preserve"> </w:t>
      </w:r>
      <w:r w:rsidR="001741CA">
        <w:t xml:space="preserve"> </w:t>
      </w:r>
    </w:p>
    <w:p w14:paraId="0D1E6249" w14:textId="7CC7162F" w:rsidR="00FF5804" w:rsidRPr="00B4707E" w:rsidRDefault="00B4707E" w:rsidP="00B12678">
      <w:pPr>
        <w:pStyle w:val="Style1"/>
        <w:spacing w:line="240" w:lineRule="auto"/>
      </w:pPr>
      <w:r>
        <w:t>S</w:t>
      </w:r>
      <w:r w:rsidR="00FF5804" w:rsidRPr="00F4188D">
        <w:t>torage of goods in communal areas is strictly prohibited and we will take action to remove items that are left in them.</w:t>
      </w:r>
      <w:r w:rsidR="000D5515">
        <w:t xml:space="preserve"> </w:t>
      </w:r>
      <w:r w:rsidR="00040E8F">
        <w:t xml:space="preserve"> Arches </w:t>
      </w:r>
      <w:r w:rsidR="00F64D5F">
        <w:t xml:space="preserve">Housing </w:t>
      </w:r>
      <w:r w:rsidR="00040E8F">
        <w:t xml:space="preserve">adopt a managed approach in </w:t>
      </w:r>
      <w:r w:rsidR="00040E8F">
        <w:lastRenderedPageBreak/>
        <w:t xml:space="preserve">relation to items deemed acceptable in relation to fire loading – this may be items such as doormats etc. </w:t>
      </w:r>
      <w:r w:rsidR="000D5515">
        <w:t>In bloc</w:t>
      </w:r>
      <w:r w:rsidR="00AC69B8">
        <w:t xml:space="preserve">ks where Arches </w:t>
      </w:r>
      <w:r w:rsidR="00F64D5F">
        <w:t xml:space="preserve">Housing </w:t>
      </w:r>
      <w:r w:rsidR="00AC69B8">
        <w:t xml:space="preserve">is not the </w:t>
      </w:r>
      <w:r w:rsidR="00735C0D">
        <w:t>property owner</w:t>
      </w:r>
      <w:r w:rsidR="000D5515">
        <w:t xml:space="preserve"> and does not manage the block</w:t>
      </w:r>
      <w:r w:rsidR="000D5515" w:rsidRPr="003D58F3">
        <w:t xml:space="preserve"> </w:t>
      </w:r>
      <w:r w:rsidRPr="003D58F3">
        <w:t>storage in communal areas</w:t>
      </w:r>
      <w:r w:rsidR="000D5515" w:rsidRPr="003D58F3">
        <w:t xml:space="preserve"> will be reported to the managing agent and Arches </w:t>
      </w:r>
      <w:r w:rsidR="00F64D5F" w:rsidRPr="003D58F3">
        <w:t xml:space="preserve">Housing </w:t>
      </w:r>
      <w:r w:rsidR="000D5515" w:rsidRPr="003D58F3">
        <w:t>will check</w:t>
      </w:r>
      <w:r w:rsidR="004F25D0" w:rsidRPr="003D58F3">
        <w:t>,</w:t>
      </w:r>
      <w:r w:rsidR="000D5515" w:rsidRPr="003D58F3">
        <w:t xml:space="preserve"> monitor and review.</w:t>
      </w:r>
    </w:p>
    <w:p w14:paraId="61AD36BA" w14:textId="6584E829" w:rsidR="00FF5804" w:rsidRPr="00F4188D" w:rsidRDefault="00FF5804" w:rsidP="00B12678">
      <w:pPr>
        <w:pStyle w:val="Style1"/>
        <w:spacing w:line="240" w:lineRule="auto"/>
      </w:pPr>
      <w:r w:rsidRPr="00F4188D">
        <w:t xml:space="preserve">Residents should not fit metal security gates to their homes. As gates of this type can often hinder entry to and exit from the premises for purposes of evacuation and </w:t>
      </w:r>
      <w:r w:rsidR="0056753C" w:rsidRPr="00F4188D">
        <w:t>firefighting</w:t>
      </w:r>
      <w:r w:rsidRPr="00F4188D">
        <w:t xml:space="preserve">, permission will not be given for these to be fitted. </w:t>
      </w:r>
    </w:p>
    <w:p w14:paraId="4D1974D9" w14:textId="057C346E" w:rsidR="00FF5804" w:rsidRDefault="00FF5804" w:rsidP="00B12678">
      <w:pPr>
        <w:pStyle w:val="Style1"/>
        <w:spacing w:line="240" w:lineRule="auto"/>
      </w:pPr>
      <w:r w:rsidRPr="00F4188D">
        <w:t xml:space="preserve">Where residents have already fitted metal security </w:t>
      </w:r>
      <w:r w:rsidR="00282841" w:rsidRPr="00F4188D">
        <w:t>gates,</w:t>
      </w:r>
      <w:r w:rsidRPr="00F4188D">
        <w:t xml:space="preserve"> and these have been identified as an unacceptable fire risk in the fire risk assessment </w:t>
      </w:r>
      <w:r w:rsidR="00F64D5F">
        <w:t>Arches Housing</w:t>
      </w:r>
      <w:r w:rsidRPr="00F4188D">
        <w:t xml:space="preserve"> will request for them to be removed. If necessary, </w:t>
      </w:r>
      <w:r w:rsidR="00F64D5F">
        <w:t xml:space="preserve">Arches Housing </w:t>
      </w:r>
      <w:r w:rsidRPr="00F4188D">
        <w:t>will remove the gates</w:t>
      </w:r>
      <w:r w:rsidR="00F64D5F">
        <w:t>.</w:t>
      </w:r>
      <w:r w:rsidRPr="00F4188D">
        <w:t xml:space="preserve"> </w:t>
      </w:r>
    </w:p>
    <w:p w14:paraId="76709C25" w14:textId="36CB562B" w:rsidR="009E53DF" w:rsidRDefault="009E53DF" w:rsidP="00B12678">
      <w:pPr>
        <w:pStyle w:val="Style1"/>
        <w:spacing w:line="240" w:lineRule="auto"/>
      </w:pPr>
      <w:r w:rsidRPr="009E53DF">
        <w:t>Tenants are not permitted to make any material alterations to their homes without the express formal writt</w:t>
      </w:r>
      <w:r w:rsidR="00A7229B">
        <w:t>en permission of Arches Housing and have legal responsibilities to avoid actions that could pose a risk to the fire and structural safety of the building, for example: making structural alterations which undermine compartmentation, removing and replacing compliant fire doors or windows, damaging or removing fire safety features, hindering or frustrating the Building Safety Manager in the performance of their duty etc</w:t>
      </w:r>
      <w:r w:rsidR="0056753C">
        <w:t>.</w:t>
      </w:r>
    </w:p>
    <w:p w14:paraId="14E86129" w14:textId="06096CB6" w:rsidR="0021097D" w:rsidRDefault="000401F4" w:rsidP="00B12678">
      <w:pPr>
        <w:pStyle w:val="Style1"/>
        <w:spacing w:line="240" w:lineRule="auto"/>
      </w:pPr>
      <w:r>
        <w:t>Residents are</w:t>
      </w:r>
      <w:r w:rsidR="0021097D">
        <w:t xml:space="preserve"> responsible for their own actions in relation to fire safety.</w:t>
      </w:r>
    </w:p>
    <w:p w14:paraId="18A9D171" w14:textId="03D3552C" w:rsidR="004F25D0" w:rsidRPr="003D58F3" w:rsidRDefault="00B26846" w:rsidP="00B12678">
      <w:pPr>
        <w:pStyle w:val="Style1"/>
        <w:spacing w:line="240" w:lineRule="auto"/>
      </w:pPr>
      <w:r>
        <w:t>I</w:t>
      </w:r>
      <w:r w:rsidR="004F25D0" w:rsidRPr="003D58F3">
        <w:t>mmediately report any concerns with fire safety or faults to fire protection or fire safety equipment.</w:t>
      </w:r>
    </w:p>
    <w:p w14:paraId="0830ED18" w14:textId="47A32CF8" w:rsidR="004F25D0" w:rsidRPr="003D58F3" w:rsidRDefault="004F25D0" w:rsidP="00B12678">
      <w:pPr>
        <w:pStyle w:val="Style1"/>
        <w:spacing w:line="240" w:lineRule="auto"/>
      </w:pPr>
      <w:r w:rsidRPr="003D58F3">
        <w:t>Not to cause damage to any fire protection or fire safety equipment in their property or communal areas.</w:t>
      </w:r>
    </w:p>
    <w:p w14:paraId="3EA79E70" w14:textId="0BA111E2" w:rsidR="00F959D0" w:rsidRDefault="00F959D0" w:rsidP="00B12678">
      <w:pPr>
        <w:pStyle w:val="Style1"/>
        <w:spacing w:line="240" w:lineRule="auto"/>
      </w:pPr>
      <w:r w:rsidRPr="003D58F3">
        <w:t xml:space="preserve">Leaseholders and shared owners at point of sale of shared ownership </w:t>
      </w:r>
      <w:r w:rsidR="000401F4" w:rsidRPr="003D58F3">
        <w:t xml:space="preserve">and shared equity products and new tenants at letting or mutual exchange will be given </w:t>
      </w:r>
      <w:r w:rsidRPr="003D58F3">
        <w:t>a copy of the</w:t>
      </w:r>
      <w:r w:rsidR="00541659" w:rsidRPr="003D58F3">
        <w:t xml:space="preserve"> Resident Engagement Strategy, Fire Management Plan and</w:t>
      </w:r>
      <w:r w:rsidRPr="003D58F3">
        <w:t xml:space="preserve"> Fire Risk Assessment will be provided to the purchaser.  </w:t>
      </w:r>
      <w:r w:rsidR="000401F4" w:rsidRPr="003D58F3">
        <w:t>These documents will also be available on the website.</w:t>
      </w:r>
    </w:p>
    <w:p w14:paraId="0B195F18" w14:textId="0311F818" w:rsidR="00E67F86" w:rsidRPr="00F4188D" w:rsidRDefault="00E67F86" w:rsidP="00B12678">
      <w:pPr>
        <w:pStyle w:val="Heading1"/>
      </w:pPr>
      <w:bookmarkStart w:id="10" w:name="_Toc79762750"/>
      <w:r>
        <w:t>Contractors</w:t>
      </w:r>
      <w:bookmarkEnd w:id="10"/>
    </w:p>
    <w:p w14:paraId="3189BDFB" w14:textId="4E8FB4DE" w:rsidR="00E67F86" w:rsidRPr="003D58F3" w:rsidRDefault="00E67F86" w:rsidP="00B12678">
      <w:pPr>
        <w:pStyle w:val="Style1"/>
        <w:spacing w:line="240" w:lineRule="auto"/>
      </w:pPr>
      <w:r w:rsidRPr="003D58F3">
        <w:t xml:space="preserve">Contractors are required to immediately report any fire related risks or concerns to </w:t>
      </w:r>
      <w:r w:rsidR="00DF17E2" w:rsidRPr="003D58F3">
        <w:t xml:space="preserve">the </w:t>
      </w:r>
      <w:r w:rsidR="002725CC">
        <w:t xml:space="preserve">Appointed </w:t>
      </w:r>
      <w:r w:rsidR="00DF17E2" w:rsidRPr="003D58F3">
        <w:t xml:space="preserve">Responsible Person or their deputy. </w:t>
      </w:r>
    </w:p>
    <w:p w14:paraId="17263BBC" w14:textId="319B6155" w:rsidR="007A6238" w:rsidRPr="003D58F3" w:rsidRDefault="007A6238" w:rsidP="00B12678">
      <w:pPr>
        <w:pStyle w:val="Style1"/>
        <w:spacing w:line="240" w:lineRule="auto"/>
      </w:pPr>
      <w:r w:rsidRPr="003D58F3">
        <w:t xml:space="preserve">Contractors must </w:t>
      </w:r>
      <w:r w:rsidR="00C51883">
        <w:t>have and follow procedures in place where Hot Works Permits are required that have been approved by Arches Housing.</w:t>
      </w:r>
    </w:p>
    <w:p w14:paraId="4BEE9057" w14:textId="03BDBD29" w:rsidR="00787CCB" w:rsidRPr="003D58F3" w:rsidRDefault="00787CCB" w:rsidP="00B12678">
      <w:pPr>
        <w:pStyle w:val="Style1"/>
        <w:spacing w:line="240" w:lineRule="auto"/>
      </w:pPr>
      <w:r w:rsidRPr="003D58F3">
        <w:t xml:space="preserve">Contractors must complete works in a block that do not undermine the compartmentation of the building; incidents which may result in this </w:t>
      </w:r>
      <w:r w:rsidR="0004691A" w:rsidRPr="003D58F3">
        <w:t xml:space="preserve">being at risk or compromised </w:t>
      </w:r>
      <w:r w:rsidRPr="003D58F3">
        <w:t>must be reported to the Building Safety Manager or Head of Asset Operations or another manager in the Asset Team to ensure appropriate remedial works by a competent contractor are put in place.</w:t>
      </w:r>
    </w:p>
    <w:p w14:paraId="35509663" w14:textId="1B45A9BF" w:rsidR="0004691A" w:rsidRPr="003D58F3" w:rsidRDefault="0004691A" w:rsidP="00B12678">
      <w:pPr>
        <w:pStyle w:val="Style1"/>
        <w:spacing w:line="240" w:lineRule="auto"/>
      </w:pPr>
      <w:r w:rsidRPr="003D58F3">
        <w:t xml:space="preserve">This policy will be shared with all </w:t>
      </w:r>
      <w:r w:rsidR="00282841" w:rsidRPr="003D58F3">
        <w:t>contractors,</w:t>
      </w:r>
      <w:r w:rsidRPr="003D58F3">
        <w:t xml:space="preserve"> so they understand their responsibilities while working on behalf of Arches Housing</w:t>
      </w:r>
      <w:r w:rsidR="002725CC">
        <w:t>.</w:t>
      </w:r>
    </w:p>
    <w:p w14:paraId="0C4A07F9" w14:textId="0B8FB443" w:rsidR="00FF5804" w:rsidRPr="004E480B" w:rsidRDefault="00FF5804" w:rsidP="00B12678">
      <w:pPr>
        <w:pStyle w:val="Heading1"/>
      </w:pPr>
      <w:bookmarkStart w:id="11" w:name="_Toc79762751"/>
      <w:r w:rsidRPr="004E480B">
        <w:t>Communication</w:t>
      </w:r>
      <w:bookmarkEnd w:id="11"/>
      <w:r w:rsidRPr="004E480B">
        <w:t xml:space="preserve"> </w:t>
      </w:r>
    </w:p>
    <w:p w14:paraId="0F20A15E" w14:textId="3C1C9F0A" w:rsidR="00A73485" w:rsidRPr="003D58F3" w:rsidRDefault="00A73485" w:rsidP="00B12678">
      <w:pPr>
        <w:pStyle w:val="Style1"/>
        <w:spacing w:line="240" w:lineRule="auto"/>
      </w:pPr>
      <w:r w:rsidRPr="003D58F3">
        <w:lastRenderedPageBreak/>
        <w:t>Where a</w:t>
      </w:r>
      <w:r w:rsidR="002725CC">
        <w:t>n FRA</w:t>
      </w:r>
      <w:r w:rsidRPr="003D58F3">
        <w:t xml:space="preserve"> is commissioned, </w:t>
      </w:r>
      <w:r w:rsidR="00F64D5F" w:rsidRPr="003D58F3">
        <w:t xml:space="preserve">Arches Housing </w:t>
      </w:r>
      <w:r w:rsidRPr="003D58F3">
        <w:t xml:space="preserve">will notify </w:t>
      </w:r>
      <w:r w:rsidR="0012552C" w:rsidRPr="003D58F3">
        <w:t>residents</w:t>
      </w:r>
      <w:r w:rsidR="002725CC">
        <w:t xml:space="preserve"> in the a</w:t>
      </w:r>
      <w:r w:rsidRPr="003D58F3">
        <w:t>ffected block or scheme when this will be taking place.</w:t>
      </w:r>
    </w:p>
    <w:p w14:paraId="71DB58AE" w14:textId="11F8E897" w:rsidR="00FF5804" w:rsidRPr="003D58F3" w:rsidRDefault="00A73485" w:rsidP="00B12678">
      <w:pPr>
        <w:pStyle w:val="Style1"/>
        <w:spacing w:line="240" w:lineRule="auto"/>
      </w:pPr>
      <w:r w:rsidRPr="003D58F3">
        <w:t>Where a</w:t>
      </w:r>
      <w:r w:rsidR="002725CC">
        <w:t>n FRA</w:t>
      </w:r>
      <w:r w:rsidRPr="003D58F3">
        <w:t xml:space="preserve"> i</w:t>
      </w:r>
      <w:r w:rsidR="002725CC">
        <w:t>s commissioned, a</w:t>
      </w:r>
      <w:r w:rsidR="0012552C" w:rsidRPr="003D58F3">
        <w:t>ffected residents</w:t>
      </w:r>
      <w:r w:rsidRPr="003D58F3">
        <w:t xml:space="preserve"> will be advised of th</w:t>
      </w:r>
      <w:r w:rsidR="0012552C" w:rsidRPr="003D58F3">
        <w:t>e findings and recommendations as part of the Resident Engagement Strategy</w:t>
      </w:r>
      <w:r w:rsidR="002725CC">
        <w:t>.</w:t>
      </w:r>
    </w:p>
    <w:p w14:paraId="0F1FD9E2" w14:textId="3FFE98E8" w:rsidR="0012552C" w:rsidRPr="003D58F3" w:rsidRDefault="0012552C" w:rsidP="00B12678">
      <w:pPr>
        <w:pStyle w:val="Style1"/>
        <w:spacing w:line="240" w:lineRule="auto"/>
      </w:pPr>
      <w:r w:rsidRPr="003D58F3">
        <w:t xml:space="preserve">Communication methods on building fire safety will be included </w:t>
      </w:r>
      <w:r w:rsidR="00A0759F" w:rsidRPr="003D58F3">
        <w:t xml:space="preserve">in the Fire Management Plan for the block </w:t>
      </w:r>
      <w:r w:rsidRPr="003D58F3">
        <w:t>as part of the Resident Engagement Strategy and be published on our website and given to all new residents.</w:t>
      </w:r>
    </w:p>
    <w:p w14:paraId="09E8AA78" w14:textId="78FB0475" w:rsidR="00E67F86" w:rsidRPr="004E480B" w:rsidRDefault="00E67F86" w:rsidP="00B12678">
      <w:pPr>
        <w:pStyle w:val="Heading1"/>
      </w:pPr>
      <w:bookmarkStart w:id="12" w:name="_Toc79762752"/>
      <w:r w:rsidRPr="004E480B">
        <w:t>Review</w:t>
      </w:r>
      <w:bookmarkEnd w:id="12"/>
      <w:r w:rsidRPr="004E480B">
        <w:t xml:space="preserve"> </w:t>
      </w:r>
    </w:p>
    <w:p w14:paraId="3DE065E8" w14:textId="64CD2D93" w:rsidR="00E67F86" w:rsidRPr="003D58F3" w:rsidRDefault="00E67F86" w:rsidP="00B12678">
      <w:pPr>
        <w:pStyle w:val="Style1"/>
        <w:spacing w:line="240" w:lineRule="auto"/>
      </w:pPr>
      <w:r w:rsidRPr="003D58F3">
        <w:t xml:space="preserve">This Policy shall be reviewed and updated by the </w:t>
      </w:r>
      <w:r w:rsidR="005E26D9" w:rsidRPr="003D58F3">
        <w:t xml:space="preserve">Duty Holder </w:t>
      </w:r>
      <w:r w:rsidR="002725CC">
        <w:t xml:space="preserve">on </w:t>
      </w:r>
      <w:r w:rsidR="009E4040" w:rsidRPr="003D58F3">
        <w:t>a triennial</w:t>
      </w:r>
      <w:r w:rsidRPr="003D58F3">
        <w:t xml:space="preserve"> basis</w:t>
      </w:r>
      <w:r w:rsidR="002725CC">
        <w:t>,</w:t>
      </w:r>
      <w:r w:rsidRPr="003D58F3">
        <w:t xml:space="preserve"> or if there are any significant changes to current </w:t>
      </w:r>
      <w:r w:rsidR="005E26D9" w:rsidRPr="003D58F3">
        <w:t>l</w:t>
      </w:r>
      <w:r w:rsidRPr="003D58F3">
        <w:t>egislation</w:t>
      </w:r>
      <w:r w:rsidR="005E26D9" w:rsidRPr="003D58F3">
        <w:t>, regulations</w:t>
      </w:r>
      <w:r w:rsidR="002725CC">
        <w:t>,</w:t>
      </w:r>
      <w:r w:rsidR="005E26D9" w:rsidRPr="003D58F3">
        <w:t xml:space="preserve"> </w:t>
      </w:r>
      <w:r w:rsidRPr="003D58F3">
        <w:t xml:space="preserve">codes of practice or guidance. </w:t>
      </w:r>
      <w:r w:rsidR="00F64D5F" w:rsidRPr="003D58F3">
        <w:t xml:space="preserve"> </w:t>
      </w:r>
      <w:r w:rsidRPr="003D58F3">
        <w:t xml:space="preserve">It will also be reviewed after any serious </w:t>
      </w:r>
      <w:r w:rsidR="005E26D9" w:rsidRPr="003D58F3">
        <w:t xml:space="preserve">fire related </w:t>
      </w:r>
      <w:r w:rsidRPr="003D58F3">
        <w:t xml:space="preserve">incident or if any reason </w:t>
      </w:r>
      <w:r w:rsidR="00DA7077" w:rsidRPr="003D58F3">
        <w:t>becomes known</w:t>
      </w:r>
      <w:r w:rsidRPr="003D58F3">
        <w:t xml:space="preserve"> to suggest that the Plan or Policy is inadequate</w:t>
      </w:r>
      <w:r w:rsidR="00F64D5F" w:rsidRPr="003D58F3">
        <w:t>.</w:t>
      </w:r>
      <w:r w:rsidRPr="003D58F3">
        <w:t xml:space="preserve"> </w:t>
      </w:r>
    </w:p>
    <w:p w14:paraId="64B2447B" w14:textId="4EAC0C47" w:rsidR="005E26D9" w:rsidRPr="004E480B" w:rsidRDefault="005E26D9" w:rsidP="00B12678">
      <w:pPr>
        <w:pStyle w:val="Heading1"/>
      </w:pPr>
      <w:bookmarkStart w:id="13" w:name="_Toc79762753"/>
      <w:r w:rsidRPr="004E480B">
        <w:t>Governance</w:t>
      </w:r>
      <w:r w:rsidR="0053599A" w:rsidRPr="004E480B">
        <w:t>,</w:t>
      </w:r>
      <w:r w:rsidRPr="004E480B">
        <w:t xml:space="preserve"> Assurance</w:t>
      </w:r>
      <w:r w:rsidR="0053599A" w:rsidRPr="004E480B">
        <w:t xml:space="preserve"> and External Validation</w:t>
      </w:r>
      <w:bookmarkEnd w:id="13"/>
    </w:p>
    <w:p w14:paraId="25F9FC4D" w14:textId="15F684C3" w:rsidR="005E26D9" w:rsidRPr="003D58F3" w:rsidRDefault="005E26D9" w:rsidP="00B12678">
      <w:pPr>
        <w:pStyle w:val="Style1"/>
        <w:spacing w:line="240" w:lineRule="auto"/>
      </w:pPr>
      <w:r w:rsidRPr="003D58F3">
        <w:t xml:space="preserve">Compliance with Arches </w:t>
      </w:r>
      <w:r w:rsidR="00F64D5F" w:rsidRPr="003D58F3">
        <w:t xml:space="preserve">Housing’ </w:t>
      </w:r>
      <w:r w:rsidRPr="003D58F3">
        <w:t>legal responsibility in relation to Fire Risk Management will</w:t>
      </w:r>
      <w:r w:rsidR="00E46FBC" w:rsidRPr="003D58F3">
        <w:t xml:space="preserve"> be reported to board quarterly</w:t>
      </w:r>
      <w:r w:rsidR="00F64D5F" w:rsidRPr="003D58F3">
        <w:t>.</w:t>
      </w:r>
    </w:p>
    <w:p w14:paraId="2BFC507E" w14:textId="17C3878B" w:rsidR="00151AD9" w:rsidRPr="003D58F3" w:rsidRDefault="00151AD9" w:rsidP="00B12678">
      <w:pPr>
        <w:pStyle w:val="Style1"/>
        <w:spacing w:line="240" w:lineRule="auto"/>
      </w:pPr>
      <w:r w:rsidRPr="003D58F3">
        <w:t xml:space="preserve">Compliance is monitored by the Head of Asset Operations and the Director of Operations. Where non-compliance is identified in the first instance there is an agreed appropriate course of corrective action put in place with the operational team </w:t>
      </w:r>
      <w:proofErr w:type="gramStart"/>
      <w:r w:rsidRPr="003D58F3">
        <w:t>in order to</w:t>
      </w:r>
      <w:proofErr w:type="gramEnd"/>
      <w:r w:rsidRPr="003D58F3">
        <w:t xml:space="preserve"> address the non-compliance issue. If this is not resolved to agreed timescales, details of the matter will be escalated to the Chief Executive. </w:t>
      </w:r>
    </w:p>
    <w:p w14:paraId="09A8C1BA" w14:textId="2E5A4961" w:rsidR="00151AD9" w:rsidRPr="003D58F3" w:rsidRDefault="00151AD9" w:rsidP="00B12678">
      <w:pPr>
        <w:pStyle w:val="Style1"/>
        <w:spacing w:line="240" w:lineRule="auto"/>
      </w:pPr>
      <w:r w:rsidRPr="003D58F3">
        <w:t>The Chief Executive or the Director of Operations will make the Board aware of any serious non-compliance issue so they can consider the implications and take action as appropriate which will include whether it is necessary to disclose the issue to the Regulator of Social Housing in the spirit of co-regulation, or any other relevant organisation such as the HSE, BSR, etc., as part of the Regulatory Framework</w:t>
      </w:r>
      <w:r w:rsidR="002725CC">
        <w:t>.</w:t>
      </w:r>
    </w:p>
    <w:p w14:paraId="0250D2BE" w14:textId="3D15066F" w:rsidR="00E66BF4" w:rsidRPr="003D58F3" w:rsidRDefault="00E66BF4" w:rsidP="00B12678">
      <w:pPr>
        <w:pStyle w:val="Style1"/>
        <w:spacing w:line="240" w:lineRule="auto"/>
      </w:pPr>
      <w:r w:rsidRPr="003D58F3">
        <w:t>Key Perf</w:t>
      </w:r>
      <w:r w:rsidR="004D44C6" w:rsidRPr="003D58F3">
        <w:t>ormance Indicators on Fire Safety</w:t>
      </w:r>
      <w:r w:rsidRPr="003D58F3">
        <w:t xml:space="preserve"> will be reported quarterly:</w:t>
      </w:r>
    </w:p>
    <w:p w14:paraId="71B18269" w14:textId="04BDC02C" w:rsidR="00042FF0" w:rsidRPr="003D58F3" w:rsidRDefault="00F64D5F" w:rsidP="00BD4771">
      <w:pPr>
        <w:pStyle w:val="Style1"/>
        <w:numPr>
          <w:ilvl w:val="0"/>
          <w:numId w:val="15"/>
        </w:numPr>
        <w:spacing w:line="240" w:lineRule="auto"/>
        <w:ind w:left="1418"/>
      </w:pPr>
      <w:r w:rsidRPr="003D58F3">
        <w:t>T</w:t>
      </w:r>
      <w:r w:rsidR="00042FF0" w:rsidRPr="003D58F3">
        <w:t>he number of properties that require a Fire Risk Assessment - all buildings with a communal area managed or owned by the organisation</w:t>
      </w:r>
      <w:r w:rsidRPr="003D58F3">
        <w:t>.</w:t>
      </w:r>
    </w:p>
    <w:p w14:paraId="41E4E99D" w14:textId="0AE58ECA" w:rsidR="00042FF0" w:rsidRPr="003D58F3" w:rsidRDefault="00F64D5F" w:rsidP="00BD4771">
      <w:pPr>
        <w:pStyle w:val="Style1"/>
        <w:numPr>
          <w:ilvl w:val="0"/>
          <w:numId w:val="15"/>
        </w:numPr>
        <w:spacing w:line="240" w:lineRule="auto"/>
        <w:ind w:left="1418"/>
      </w:pPr>
      <w:r w:rsidRPr="003D58F3">
        <w:t>T</w:t>
      </w:r>
      <w:r w:rsidR="00042FF0" w:rsidRPr="003D58F3">
        <w:t xml:space="preserve">he number and percentage of properties with a valid </w:t>
      </w:r>
      <w:r w:rsidR="006A0854" w:rsidRPr="003D58F3">
        <w:t xml:space="preserve">Fire Risk Assessment </w:t>
      </w:r>
      <w:r w:rsidR="00042FF0" w:rsidRPr="003D58F3">
        <w:t>for all buildings with a communal area managed or owned by the organisation</w:t>
      </w:r>
      <w:r w:rsidRPr="003D58F3">
        <w:t>.</w:t>
      </w:r>
    </w:p>
    <w:p w14:paraId="05E2F2FF" w14:textId="0FD1F532" w:rsidR="00042FF0" w:rsidRPr="003D58F3" w:rsidRDefault="00F64D5F" w:rsidP="00BD4771">
      <w:pPr>
        <w:pStyle w:val="Style1"/>
        <w:numPr>
          <w:ilvl w:val="0"/>
          <w:numId w:val="15"/>
        </w:numPr>
        <w:spacing w:line="240" w:lineRule="auto"/>
        <w:ind w:left="1418"/>
      </w:pPr>
      <w:r w:rsidRPr="003D58F3">
        <w:t>T</w:t>
      </w:r>
      <w:r w:rsidR="00042FF0" w:rsidRPr="003D58F3">
        <w:t>he number of overdue, incomplete actions based on recommendations on a Fire Risk Assessment Action Plan</w:t>
      </w:r>
      <w:r w:rsidRPr="003D58F3">
        <w:t xml:space="preserve"> (including the number of days the action is overdue).</w:t>
      </w:r>
    </w:p>
    <w:p w14:paraId="23E555D4" w14:textId="2EDD377C" w:rsidR="00FB5B70" w:rsidRPr="0020363C" w:rsidRDefault="0020363C" w:rsidP="00B12678">
      <w:pPr>
        <w:pStyle w:val="Style1"/>
        <w:spacing w:line="240" w:lineRule="auto"/>
      </w:pPr>
      <w:r w:rsidRPr="0020363C">
        <w:t>We will d</w:t>
      </w:r>
      <w:r>
        <w:t>evelop our health and safety a</w:t>
      </w:r>
      <w:r w:rsidR="00FB5B70" w:rsidRPr="0020363C">
        <w:t xml:space="preserve">ccident and incident recording and reporting framework to </w:t>
      </w:r>
      <w:r>
        <w:t xml:space="preserve">also </w:t>
      </w:r>
      <w:r w:rsidR="00FB5B70" w:rsidRPr="0020363C">
        <w:t>identify serious risks</w:t>
      </w:r>
      <w:r>
        <w:t xml:space="preserve"> and ensure they are investigated and addressed</w:t>
      </w:r>
      <w:r w:rsidR="00FB5B70" w:rsidRPr="0020363C">
        <w:t xml:space="preserve"> </w:t>
      </w:r>
      <w:r>
        <w:t xml:space="preserve">(in line with the principal of Mandatory Occurrence reporting under the Building Safety Bill). </w:t>
      </w:r>
    </w:p>
    <w:p w14:paraId="4009A8A2" w14:textId="30E80291" w:rsidR="00613E3D" w:rsidRDefault="00613E3D" w:rsidP="00B12678">
      <w:pPr>
        <w:pStyle w:val="Style1"/>
        <w:spacing w:line="240" w:lineRule="auto"/>
      </w:pPr>
      <w:r>
        <w:t>We will undertake internal work in progress inspections and post inspections on an agreed sample of FRA remedial works, plus other repairs and maintenance works that have the potential to compromise building compartmentation</w:t>
      </w:r>
      <w:r w:rsidR="0047588A">
        <w:t xml:space="preserve"> may be subject </w:t>
      </w:r>
      <w:r w:rsidR="0047588A">
        <w:lastRenderedPageBreak/>
        <w:t>to inspections and discussed in contractor monthly monitoring meetings</w:t>
      </w:r>
      <w:r>
        <w:t>, to provide internal quality assurance.</w:t>
      </w:r>
    </w:p>
    <w:p w14:paraId="6E90D4A2" w14:textId="5B594484" w:rsidR="005E26D9" w:rsidRPr="003D58F3" w:rsidRDefault="00F31A3F" w:rsidP="00B12678">
      <w:pPr>
        <w:pStyle w:val="Style1"/>
        <w:spacing w:line="240" w:lineRule="auto"/>
      </w:pPr>
      <w:r w:rsidRPr="003D58F3">
        <w:t>Independent external assurance will be sought periodically</w:t>
      </w:r>
      <w:r w:rsidR="0047588A">
        <w:t xml:space="preserve"> as part of a wider Compliance Health Check every 3 years </w:t>
      </w:r>
      <w:r w:rsidRPr="003D58F3">
        <w:t>but no less than annually</w:t>
      </w:r>
      <w:r w:rsidR="00E63F54">
        <w:t xml:space="preserve"> through FRA’s</w:t>
      </w:r>
      <w:r w:rsidRPr="003D58F3">
        <w:t>, to ensure compliance with Arches Housing’ legal responsibility in relation to Fire Risk</w:t>
      </w:r>
      <w:r w:rsidR="001B41AB" w:rsidRPr="003D58F3">
        <w:t>.</w:t>
      </w:r>
    </w:p>
    <w:p w14:paraId="34C000DE" w14:textId="1F73F7F8" w:rsidR="005737EC" w:rsidRDefault="00411053" w:rsidP="00B12678">
      <w:pPr>
        <w:pStyle w:val="Style1"/>
        <w:spacing w:line="240" w:lineRule="auto"/>
      </w:pPr>
      <w:r w:rsidRPr="003D58F3">
        <w:t>Contractors who carry out works to properties including fire door installations, maintenance, fire stopping etc</w:t>
      </w:r>
      <w:r w:rsidR="001137DC">
        <w:t>.</w:t>
      </w:r>
      <w:r w:rsidRPr="003D58F3">
        <w:t xml:space="preserve"> will be certified by an appropriate UKAS industry recognised accredited certification scheme for example FIRAS, BWF, BM TRADA</w:t>
      </w:r>
      <w:r w:rsidR="001137DC">
        <w:t>.</w:t>
      </w:r>
    </w:p>
    <w:p w14:paraId="5F6BA5C2" w14:textId="77777777" w:rsidR="003119D3" w:rsidRDefault="003119D3" w:rsidP="00B12678">
      <w:pPr>
        <w:pStyle w:val="Heading1"/>
      </w:pPr>
      <w:bookmarkStart w:id="14" w:name="_Toc79762754"/>
      <w:r>
        <w:t>Additional Legislation</w:t>
      </w:r>
      <w:bookmarkEnd w:id="14"/>
    </w:p>
    <w:p w14:paraId="3FC2DAEB" w14:textId="77777777" w:rsidR="003119D3" w:rsidRPr="00336F1C" w:rsidRDefault="003119D3" w:rsidP="00B12678">
      <w:pPr>
        <w:pStyle w:val="Style1"/>
        <w:spacing w:line="240" w:lineRule="auto"/>
      </w:pPr>
      <w:r w:rsidRPr="00336F1C">
        <w:t>This policy also operates within the context of the following legislation:</w:t>
      </w:r>
    </w:p>
    <w:p w14:paraId="3155423D" w14:textId="77777777" w:rsidR="003119D3" w:rsidRPr="00AF6B3F" w:rsidRDefault="003119D3" w:rsidP="00B12678">
      <w:pPr>
        <w:pStyle w:val="BodyText"/>
        <w:numPr>
          <w:ilvl w:val="0"/>
          <w:numId w:val="2"/>
        </w:numPr>
        <w:ind w:left="1276"/>
        <w:rPr>
          <w:rFonts w:ascii="Calibri" w:hAnsi="Calibri" w:cs="Calibri"/>
          <w:color w:val="0072CE"/>
        </w:rPr>
      </w:pPr>
      <w:r w:rsidRPr="00AF6B3F">
        <w:rPr>
          <w:rFonts w:ascii="Calibri" w:hAnsi="Calibri" w:cs="Calibri"/>
          <w:color w:val="0072CE"/>
        </w:rPr>
        <w:t>Housing Act 2004 specifically the Housing Health and Safety Rating System (HHSRS)</w:t>
      </w:r>
    </w:p>
    <w:p w14:paraId="2EDAE1F9" w14:textId="77777777" w:rsidR="003119D3" w:rsidRPr="00CA555E" w:rsidRDefault="003119D3" w:rsidP="00B12678">
      <w:pPr>
        <w:pStyle w:val="BodyText"/>
        <w:numPr>
          <w:ilvl w:val="0"/>
          <w:numId w:val="2"/>
        </w:numPr>
        <w:ind w:left="1276"/>
        <w:rPr>
          <w:rFonts w:ascii="Calibri" w:hAnsi="Calibri" w:cs="Calibri"/>
          <w:color w:val="0072CE"/>
        </w:rPr>
      </w:pPr>
      <w:r>
        <w:rPr>
          <w:rFonts w:ascii="Calibri" w:hAnsi="Calibri" w:cs="Calibri"/>
          <w:color w:val="0072CE"/>
        </w:rPr>
        <w:t>Health and Safety at Work Act 1974</w:t>
      </w:r>
      <w:r w:rsidRPr="00CA555E">
        <w:rPr>
          <w:rFonts w:ascii="Calibri" w:hAnsi="Calibri" w:cs="Calibri"/>
          <w:color w:val="0072CE"/>
        </w:rPr>
        <w:t xml:space="preserve"> </w:t>
      </w:r>
    </w:p>
    <w:p w14:paraId="1E1BCFB2" w14:textId="77777777" w:rsidR="003119D3" w:rsidRDefault="003119D3" w:rsidP="00B12678">
      <w:pPr>
        <w:pStyle w:val="BodyText"/>
        <w:numPr>
          <w:ilvl w:val="0"/>
          <w:numId w:val="2"/>
        </w:numPr>
        <w:ind w:left="1276"/>
        <w:rPr>
          <w:rFonts w:ascii="Calibri" w:hAnsi="Calibri" w:cs="Calibri"/>
          <w:color w:val="0072CE"/>
        </w:rPr>
      </w:pPr>
      <w:r>
        <w:rPr>
          <w:rFonts w:ascii="Calibri" w:hAnsi="Calibri" w:cs="Calibri"/>
          <w:color w:val="0072CE"/>
        </w:rPr>
        <w:t>The Management of Health and Safety at Work Regulations 1999</w:t>
      </w:r>
    </w:p>
    <w:p w14:paraId="2BFBA905" w14:textId="77777777" w:rsidR="003119D3" w:rsidRPr="00473846" w:rsidRDefault="003119D3" w:rsidP="00B12678">
      <w:pPr>
        <w:pStyle w:val="BodyText"/>
        <w:numPr>
          <w:ilvl w:val="0"/>
          <w:numId w:val="2"/>
        </w:numPr>
        <w:ind w:left="1276"/>
        <w:rPr>
          <w:rFonts w:ascii="Calibri" w:hAnsi="Calibri" w:cs="Calibri"/>
          <w:color w:val="0072CE"/>
        </w:rPr>
      </w:pPr>
      <w:r w:rsidRPr="00CA555E">
        <w:rPr>
          <w:rFonts w:ascii="Calibri" w:hAnsi="Calibri" w:cs="Calibri"/>
          <w:color w:val="0072CE"/>
        </w:rPr>
        <w:t xml:space="preserve">Furniture and Furnishings (Fire Safety) Regulations 1988 </w:t>
      </w:r>
    </w:p>
    <w:p w14:paraId="708FF7FC" w14:textId="77777777" w:rsidR="003119D3" w:rsidRDefault="003119D3" w:rsidP="00B12678">
      <w:pPr>
        <w:pStyle w:val="BodyText"/>
        <w:numPr>
          <w:ilvl w:val="0"/>
          <w:numId w:val="2"/>
        </w:numPr>
        <w:ind w:left="1276"/>
        <w:rPr>
          <w:rFonts w:ascii="Calibri" w:hAnsi="Calibri" w:cs="Calibri"/>
          <w:color w:val="0072CE"/>
        </w:rPr>
      </w:pPr>
      <w:r>
        <w:rPr>
          <w:rFonts w:ascii="Calibri" w:hAnsi="Calibri" w:cs="Calibri"/>
          <w:color w:val="0072CE"/>
        </w:rPr>
        <w:t>The Health and Safety (Safety Signs and Signals) Regulations 1996</w:t>
      </w:r>
    </w:p>
    <w:p w14:paraId="5E297036" w14:textId="77777777" w:rsidR="003119D3" w:rsidRDefault="003119D3" w:rsidP="00B12678">
      <w:pPr>
        <w:pStyle w:val="BodyText"/>
        <w:numPr>
          <w:ilvl w:val="0"/>
          <w:numId w:val="2"/>
        </w:numPr>
        <w:ind w:left="1276"/>
        <w:rPr>
          <w:rFonts w:ascii="Calibri" w:hAnsi="Calibri" w:cs="Calibri"/>
          <w:color w:val="0072CE"/>
        </w:rPr>
      </w:pPr>
      <w:r w:rsidRPr="00473846">
        <w:rPr>
          <w:rFonts w:ascii="Calibri" w:hAnsi="Calibri" w:cs="Calibri"/>
          <w:color w:val="0072CE"/>
        </w:rPr>
        <w:t>Building Regulations 2010 Approved Document B (Fire safety)</w:t>
      </w:r>
      <w:r>
        <w:rPr>
          <w:rFonts w:ascii="Calibri" w:hAnsi="Calibri" w:cs="Calibri"/>
          <w:color w:val="0072CE"/>
        </w:rPr>
        <w:t xml:space="preserve"> 2019 edition incorporating 2020 amendments</w:t>
      </w:r>
    </w:p>
    <w:p w14:paraId="76C2B695" w14:textId="77777777" w:rsidR="003119D3" w:rsidRPr="0015773B" w:rsidRDefault="003119D3" w:rsidP="00B12678">
      <w:pPr>
        <w:pStyle w:val="BodyText"/>
        <w:numPr>
          <w:ilvl w:val="0"/>
          <w:numId w:val="2"/>
        </w:numPr>
        <w:ind w:left="1276"/>
        <w:rPr>
          <w:rFonts w:ascii="Calibri" w:hAnsi="Calibri" w:cs="Calibri"/>
          <w:color w:val="0072CE"/>
        </w:rPr>
      </w:pPr>
      <w:r w:rsidRPr="0015773B">
        <w:rPr>
          <w:rFonts w:ascii="Calibri" w:hAnsi="Calibri" w:cs="Calibri"/>
          <w:color w:val="0072CE"/>
        </w:rPr>
        <w:t>Construction (Design and Management) Regulations 2015</w:t>
      </w:r>
    </w:p>
    <w:p w14:paraId="26E372B5" w14:textId="77777777" w:rsidR="003119D3" w:rsidRPr="00CA555E" w:rsidRDefault="003119D3" w:rsidP="00B12678">
      <w:pPr>
        <w:pStyle w:val="BodyText"/>
        <w:numPr>
          <w:ilvl w:val="0"/>
          <w:numId w:val="2"/>
        </w:numPr>
        <w:ind w:left="1276"/>
        <w:rPr>
          <w:rFonts w:ascii="Calibri" w:hAnsi="Calibri" w:cs="Calibri"/>
          <w:color w:val="0072CE"/>
        </w:rPr>
      </w:pPr>
      <w:r w:rsidRPr="00CA555E">
        <w:rPr>
          <w:rFonts w:ascii="Calibri" w:hAnsi="Calibri" w:cs="Calibri"/>
          <w:color w:val="0072CE"/>
        </w:rPr>
        <w:t xml:space="preserve">Dangerous Substances and Explosive Atmospheres Regulations 2002 </w:t>
      </w:r>
    </w:p>
    <w:p w14:paraId="7EB457E7" w14:textId="77777777" w:rsidR="003119D3" w:rsidRPr="00CA555E" w:rsidRDefault="003119D3" w:rsidP="00B12678">
      <w:pPr>
        <w:pStyle w:val="BodyText"/>
        <w:numPr>
          <w:ilvl w:val="0"/>
          <w:numId w:val="2"/>
        </w:numPr>
        <w:ind w:left="1276"/>
        <w:rPr>
          <w:rFonts w:ascii="Calibri" w:hAnsi="Calibri" w:cs="Calibri"/>
          <w:color w:val="0072CE"/>
        </w:rPr>
      </w:pPr>
      <w:r w:rsidRPr="00CA555E">
        <w:rPr>
          <w:rFonts w:ascii="Calibri" w:hAnsi="Calibri" w:cs="Calibri"/>
          <w:color w:val="0072CE"/>
        </w:rPr>
        <w:t xml:space="preserve">Landlord and Tenant Act 1985 </w:t>
      </w:r>
    </w:p>
    <w:p w14:paraId="679D2410" w14:textId="77777777" w:rsidR="003119D3" w:rsidRPr="00260F15" w:rsidRDefault="003119D3" w:rsidP="00B12678">
      <w:pPr>
        <w:pStyle w:val="BodyText"/>
        <w:numPr>
          <w:ilvl w:val="0"/>
          <w:numId w:val="2"/>
        </w:numPr>
        <w:ind w:left="1276"/>
        <w:rPr>
          <w:rFonts w:ascii="Calibri" w:hAnsi="Calibri" w:cs="Calibri"/>
          <w:color w:val="0072CE"/>
        </w:rPr>
      </w:pPr>
      <w:r w:rsidRPr="00260F15">
        <w:rPr>
          <w:rFonts w:ascii="Calibri" w:hAnsi="Calibri" w:cs="Calibri"/>
          <w:color w:val="0072CE"/>
        </w:rPr>
        <w:t>Management of Houses in Multiple Occupation (England) Regulations 2006</w:t>
      </w:r>
    </w:p>
    <w:p w14:paraId="127D706D" w14:textId="77777777" w:rsidR="003119D3" w:rsidRPr="00260F15" w:rsidRDefault="003119D3" w:rsidP="00B12678">
      <w:pPr>
        <w:pStyle w:val="BodyText"/>
        <w:numPr>
          <w:ilvl w:val="0"/>
          <w:numId w:val="2"/>
        </w:numPr>
        <w:ind w:left="1276"/>
        <w:rPr>
          <w:rFonts w:ascii="Calibri" w:hAnsi="Calibri" w:cs="Calibri"/>
          <w:color w:val="0072CE"/>
        </w:rPr>
      </w:pPr>
      <w:r w:rsidRPr="00260F15">
        <w:rPr>
          <w:rFonts w:ascii="Calibri" w:hAnsi="Calibri" w:cs="Calibri"/>
          <w:color w:val="0072CE"/>
        </w:rPr>
        <w:t>Licensing and Management of Houses in Multiple Occupation and Other Houses (Miscellaneous Provisions) (England) Regulations 2006</w:t>
      </w:r>
    </w:p>
    <w:p w14:paraId="714ECDAD" w14:textId="77777777" w:rsidR="003119D3" w:rsidRPr="00260F15" w:rsidRDefault="003119D3" w:rsidP="00B12678">
      <w:pPr>
        <w:pStyle w:val="BodyText"/>
        <w:numPr>
          <w:ilvl w:val="0"/>
          <w:numId w:val="2"/>
        </w:numPr>
        <w:ind w:left="1276"/>
        <w:rPr>
          <w:rFonts w:ascii="Calibri" w:hAnsi="Calibri" w:cs="Calibri"/>
          <w:color w:val="0072CE"/>
        </w:rPr>
      </w:pPr>
      <w:r w:rsidRPr="00260F15">
        <w:rPr>
          <w:rFonts w:ascii="Calibri" w:hAnsi="Calibri" w:cs="Calibri"/>
          <w:color w:val="0072CE"/>
        </w:rPr>
        <w:t>Gas Safety (Installation and Use) Regulations 1998</w:t>
      </w:r>
    </w:p>
    <w:p w14:paraId="77355C02" w14:textId="77777777" w:rsidR="003119D3" w:rsidRPr="00260F15" w:rsidRDefault="003119D3" w:rsidP="00B12678">
      <w:pPr>
        <w:pStyle w:val="BodyText"/>
        <w:numPr>
          <w:ilvl w:val="0"/>
          <w:numId w:val="2"/>
        </w:numPr>
        <w:ind w:left="1276"/>
        <w:rPr>
          <w:rFonts w:ascii="Calibri" w:hAnsi="Calibri" w:cs="Calibri"/>
          <w:color w:val="0072CE"/>
        </w:rPr>
      </w:pPr>
      <w:r w:rsidRPr="00260F15">
        <w:rPr>
          <w:rFonts w:ascii="Calibri" w:hAnsi="Calibri" w:cs="Calibri"/>
          <w:color w:val="0072CE"/>
        </w:rPr>
        <w:t>Electrical Equipment (Safety) Regulations 2016</w:t>
      </w:r>
    </w:p>
    <w:p w14:paraId="5517A3CC" w14:textId="77777777" w:rsidR="003119D3" w:rsidRPr="00260F15" w:rsidRDefault="003119D3" w:rsidP="00B12678">
      <w:pPr>
        <w:pStyle w:val="BodyText"/>
        <w:numPr>
          <w:ilvl w:val="0"/>
          <w:numId w:val="2"/>
        </w:numPr>
        <w:ind w:left="1276"/>
        <w:rPr>
          <w:rFonts w:ascii="Calibri" w:hAnsi="Calibri" w:cs="Calibri"/>
          <w:color w:val="0072CE"/>
        </w:rPr>
      </w:pPr>
      <w:r w:rsidRPr="00260F15">
        <w:rPr>
          <w:rFonts w:ascii="Calibri" w:hAnsi="Calibri" w:cs="Calibri"/>
          <w:color w:val="0072CE"/>
        </w:rPr>
        <w:t>Data Protection Act 2018</w:t>
      </w:r>
    </w:p>
    <w:p w14:paraId="06F3B8AE" w14:textId="77777777" w:rsidR="003119D3" w:rsidRPr="00260F15" w:rsidRDefault="003119D3" w:rsidP="00B12678">
      <w:pPr>
        <w:pStyle w:val="BodyText"/>
        <w:numPr>
          <w:ilvl w:val="0"/>
          <w:numId w:val="2"/>
        </w:numPr>
        <w:ind w:left="1276"/>
        <w:rPr>
          <w:rFonts w:ascii="Calibri" w:hAnsi="Calibri" w:cs="Calibri"/>
          <w:color w:val="0072CE"/>
        </w:rPr>
      </w:pPr>
      <w:r w:rsidRPr="00260F15">
        <w:rPr>
          <w:rFonts w:ascii="Calibri" w:hAnsi="Calibri" w:cs="Calibri"/>
          <w:color w:val="0072CE"/>
        </w:rPr>
        <w:t>Reporting of Injuries, Diseases and Dangerous Occurrences Regulations 2013 (RIDDOR)</w:t>
      </w:r>
    </w:p>
    <w:p w14:paraId="4F00B072" w14:textId="77777777" w:rsidR="003119D3" w:rsidRPr="00260F15" w:rsidRDefault="003119D3" w:rsidP="00B12678">
      <w:pPr>
        <w:pStyle w:val="BodyText"/>
        <w:numPr>
          <w:ilvl w:val="0"/>
          <w:numId w:val="2"/>
        </w:numPr>
        <w:ind w:left="1276"/>
        <w:rPr>
          <w:rFonts w:ascii="Calibri" w:hAnsi="Calibri" w:cs="Calibri"/>
          <w:color w:val="0072CE"/>
        </w:rPr>
      </w:pPr>
      <w:r w:rsidRPr="00260F15">
        <w:rPr>
          <w:rFonts w:ascii="Calibri" w:hAnsi="Calibri" w:cs="Calibri"/>
          <w:color w:val="0072CE"/>
        </w:rPr>
        <w:t>Homes (Fitness for Human Habitation) Act 2018</w:t>
      </w:r>
    </w:p>
    <w:p w14:paraId="453A4D4D" w14:textId="7CA4E689" w:rsidR="005E26D9" w:rsidRDefault="005E26D9" w:rsidP="00B12678">
      <w:pPr>
        <w:pStyle w:val="Heading1"/>
        <w:rPr>
          <w:bCs/>
        </w:rPr>
      </w:pPr>
      <w:bookmarkStart w:id="15" w:name="_Toc79762755"/>
      <w:r w:rsidRPr="004E480B">
        <w:t>Equality and Diversity</w:t>
      </w:r>
      <w:bookmarkEnd w:id="15"/>
    </w:p>
    <w:p w14:paraId="6BB81974" w14:textId="0A6044A0" w:rsidR="005E26D9" w:rsidRDefault="005E26D9" w:rsidP="00B12678">
      <w:pPr>
        <w:pStyle w:val="Style1"/>
        <w:spacing w:line="240" w:lineRule="auto"/>
        <w:rPr>
          <w:rFonts w:eastAsia="Calibri" w:cs="Times New Roman"/>
          <w:lang w:eastAsia="en-US"/>
        </w:rPr>
      </w:pPr>
      <w:r w:rsidRPr="003D58F3">
        <w:t xml:space="preserve">All involved will recognise their ethical and a legal duty to advance equality of opportunity and prevent discrimination on the grounds </w:t>
      </w:r>
      <w:r w:rsidR="00282841" w:rsidRPr="003D58F3">
        <w:t>of,</w:t>
      </w:r>
      <w:r w:rsidRPr="003D58F3">
        <w:t xml:space="preserve"> age, sex, sexual orientation, disability, race, religion or belief, gender reassignment, pregnancy and maternity, marriage and civil partnership.</w:t>
      </w:r>
    </w:p>
    <w:p w14:paraId="1C03C47A" w14:textId="344E0E24" w:rsidR="005E26D9" w:rsidRPr="004E480B" w:rsidRDefault="005E26D9" w:rsidP="00B12678">
      <w:pPr>
        <w:pStyle w:val="Heading1"/>
      </w:pPr>
      <w:bookmarkStart w:id="16" w:name="_Toc79762756"/>
      <w:r w:rsidRPr="004E480B">
        <w:t>Publicising this Policy</w:t>
      </w:r>
      <w:bookmarkEnd w:id="16"/>
      <w:r w:rsidRPr="004E480B">
        <w:t xml:space="preserve"> </w:t>
      </w:r>
    </w:p>
    <w:p w14:paraId="57954766" w14:textId="35D472D2" w:rsidR="005E26D9" w:rsidRPr="00217397" w:rsidRDefault="005E26D9" w:rsidP="00B12678">
      <w:pPr>
        <w:pStyle w:val="Style1"/>
        <w:spacing w:line="240" w:lineRule="auto"/>
      </w:pPr>
      <w:r w:rsidRPr="003D58F3">
        <w:t>This policy will be publicised on the Arches</w:t>
      </w:r>
      <w:r w:rsidR="00F64D5F" w:rsidRPr="003D58F3">
        <w:t xml:space="preserve"> Housing’</w:t>
      </w:r>
      <w:r w:rsidRPr="003D58F3">
        <w:t xml:space="preserve"> Website.</w:t>
      </w:r>
      <w:r w:rsidRPr="000A38D3">
        <w:rPr>
          <w:rFonts w:eastAsia="Calibri"/>
          <w:lang w:eastAsia="en-US"/>
        </w:rPr>
        <w:t xml:space="preserve"> </w:t>
      </w:r>
    </w:p>
    <w:p w14:paraId="34415E59" w14:textId="77777777" w:rsidR="00217397" w:rsidRPr="00217397" w:rsidRDefault="00217397" w:rsidP="00217397">
      <w:pPr>
        <w:pStyle w:val="Heading1"/>
      </w:pPr>
      <w:bookmarkStart w:id="17" w:name="_Toc24032067"/>
      <w:bookmarkStart w:id="18" w:name="_Toc24034289"/>
      <w:bookmarkStart w:id="19" w:name="_Toc64014385"/>
      <w:bookmarkStart w:id="20" w:name="_Toc79762757"/>
      <w:r w:rsidRPr="00217397">
        <w:t>Glossary</w:t>
      </w:r>
      <w:bookmarkEnd w:id="17"/>
      <w:bookmarkEnd w:id="18"/>
      <w:bookmarkEnd w:id="19"/>
      <w:bookmarkEnd w:id="20"/>
      <w:r w:rsidRPr="00217397">
        <w:t xml:space="preserve"> </w:t>
      </w:r>
    </w:p>
    <w:p w14:paraId="4ACD4D41" w14:textId="77777777" w:rsidR="00217397" w:rsidRPr="00217397" w:rsidRDefault="00217397" w:rsidP="00217397">
      <w:pPr>
        <w:pStyle w:val="Style1"/>
        <w:spacing w:line="240" w:lineRule="auto"/>
      </w:pPr>
      <w:r w:rsidRPr="00217397">
        <w:t>This glossary defines key terms used throughout this policy:</w:t>
      </w:r>
    </w:p>
    <w:p w14:paraId="4119970C" w14:textId="22862658" w:rsidR="00217397" w:rsidRPr="00217397" w:rsidRDefault="00217397" w:rsidP="00217397">
      <w:pPr>
        <w:pStyle w:val="BodyText"/>
        <w:numPr>
          <w:ilvl w:val="0"/>
          <w:numId w:val="2"/>
        </w:numPr>
        <w:spacing w:before="120" w:after="120"/>
        <w:ind w:left="1276" w:hanging="357"/>
        <w:rPr>
          <w:rFonts w:ascii="Calibri" w:hAnsi="Calibri" w:cs="Calibri"/>
          <w:color w:val="0072CE"/>
        </w:rPr>
      </w:pPr>
      <w:r w:rsidRPr="00217397">
        <w:rPr>
          <w:rFonts w:ascii="Calibri" w:hAnsi="Calibri" w:cs="Calibri"/>
          <w:b/>
          <w:color w:val="0072CE"/>
        </w:rPr>
        <w:lastRenderedPageBreak/>
        <w:t>BAFE</w:t>
      </w:r>
      <w:r>
        <w:rPr>
          <w:rFonts w:ascii="Calibri" w:hAnsi="Calibri" w:cs="Calibri"/>
          <w:b/>
          <w:color w:val="0072CE"/>
        </w:rPr>
        <w:t xml:space="preserve"> -</w:t>
      </w:r>
      <w:r w:rsidRPr="00217397">
        <w:rPr>
          <w:rFonts w:ascii="Calibri" w:hAnsi="Calibri" w:cs="Calibri"/>
          <w:color w:val="0072CE"/>
        </w:rPr>
        <w:t xml:space="preserve"> Is the independent register of quality fire safety service providers, who are certified to ensure quality and competence to help meet fire safety obligations.</w:t>
      </w:r>
    </w:p>
    <w:p w14:paraId="0DC4786F" w14:textId="67CF97C4" w:rsidR="00217397" w:rsidRPr="00217397" w:rsidRDefault="00217397" w:rsidP="00217397">
      <w:pPr>
        <w:pStyle w:val="BodyText"/>
        <w:numPr>
          <w:ilvl w:val="0"/>
          <w:numId w:val="2"/>
        </w:numPr>
        <w:spacing w:before="120" w:after="120"/>
        <w:ind w:left="1276" w:hanging="357"/>
        <w:rPr>
          <w:rFonts w:ascii="Calibri" w:hAnsi="Calibri" w:cs="Calibri"/>
          <w:color w:val="0072CE"/>
        </w:rPr>
      </w:pPr>
      <w:r w:rsidRPr="00217397">
        <w:rPr>
          <w:rFonts w:ascii="Calibri" w:hAnsi="Calibri" w:cs="Calibri"/>
          <w:b/>
          <w:color w:val="0072CE"/>
        </w:rPr>
        <w:t>FRA</w:t>
      </w:r>
      <w:r>
        <w:rPr>
          <w:rFonts w:ascii="Calibri" w:hAnsi="Calibri" w:cs="Calibri"/>
          <w:color w:val="0072CE"/>
        </w:rPr>
        <w:t xml:space="preserve"> </w:t>
      </w:r>
      <w:r w:rsidRPr="00217397">
        <w:rPr>
          <w:rFonts w:ascii="Calibri" w:hAnsi="Calibri" w:cs="Calibri"/>
          <w:b/>
          <w:color w:val="0072CE"/>
        </w:rPr>
        <w:t>-</w:t>
      </w:r>
      <w:r>
        <w:rPr>
          <w:rFonts w:ascii="Calibri" w:hAnsi="Calibri" w:cs="Calibri"/>
          <w:color w:val="0072CE"/>
        </w:rPr>
        <w:t xml:space="preserve"> </w:t>
      </w:r>
      <w:r w:rsidRPr="00217397">
        <w:rPr>
          <w:rFonts w:ascii="Calibri" w:hAnsi="Calibri" w:cs="Calibri"/>
          <w:color w:val="0072CE"/>
        </w:rPr>
        <w:t>A fire risk assessment is an assessment involving the systematic evaluation of the factors that determine the hazard from fire, the likelihood that there will be a fire and the consequences if one were to occur.</w:t>
      </w:r>
    </w:p>
    <w:p w14:paraId="454D0255" w14:textId="0A5B64A8" w:rsidR="00217397" w:rsidRPr="00217397" w:rsidRDefault="00217397" w:rsidP="00217397">
      <w:pPr>
        <w:pStyle w:val="BodyText"/>
        <w:numPr>
          <w:ilvl w:val="0"/>
          <w:numId w:val="2"/>
        </w:numPr>
        <w:spacing w:before="120" w:after="120"/>
        <w:ind w:left="1276" w:hanging="357"/>
        <w:rPr>
          <w:rFonts w:ascii="Calibri" w:hAnsi="Calibri" w:cs="Calibri"/>
          <w:color w:val="0072CE"/>
        </w:rPr>
      </w:pPr>
      <w:r w:rsidRPr="00217397">
        <w:rPr>
          <w:rFonts w:ascii="Calibri" w:hAnsi="Calibri" w:cs="Calibri"/>
          <w:b/>
          <w:color w:val="0072CE"/>
        </w:rPr>
        <w:t>FRA survey</w:t>
      </w:r>
      <w:r>
        <w:rPr>
          <w:rFonts w:ascii="Calibri" w:hAnsi="Calibri" w:cs="Calibri"/>
          <w:b/>
          <w:color w:val="0072CE"/>
        </w:rPr>
        <w:t xml:space="preserve"> -</w:t>
      </w:r>
      <w:r w:rsidRPr="00217397">
        <w:rPr>
          <w:rFonts w:ascii="Calibri" w:hAnsi="Calibri" w:cs="Calibri"/>
          <w:color w:val="0072CE"/>
        </w:rPr>
        <w:t xml:space="preserve"> The FSO states that an FRA is required, however, it does not prescribe how intrusive or destructive this should be. There are four types of FRA:</w:t>
      </w:r>
    </w:p>
    <w:p w14:paraId="365F3FB6" w14:textId="77777777" w:rsidR="00217397" w:rsidRPr="00217397" w:rsidRDefault="00217397" w:rsidP="00BD4771">
      <w:pPr>
        <w:pStyle w:val="BodyText"/>
        <w:numPr>
          <w:ilvl w:val="0"/>
          <w:numId w:val="16"/>
        </w:numPr>
        <w:spacing w:before="120" w:after="120"/>
        <w:ind w:left="1701" w:hanging="357"/>
        <w:rPr>
          <w:rFonts w:ascii="Calibri" w:hAnsi="Calibri" w:cs="Calibri"/>
          <w:color w:val="0072CE"/>
        </w:rPr>
      </w:pPr>
      <w:r w:rsidRPr="00217397">
        <w:rPr>
          <w:rFonts w:ascii="Calibri" w:hAnsi="Calibri" w:cs="Calibri"/>
          <w:color w:val="0072CE"/>
        </w:rPr>
        <w:t>Type 1 – common parts only (non-destructive), basic level to satisfy the FSO.</w:t>
      </w:r>
    </w:p>
    <w:p w14:paraId="7F1BF1DE" w14:textId="77777777" w:rsidR="00217397" w:rsidRPr="00217397" w:rsidRDefault="00217397" w:rsidP="00BD4771">
      <w:pPr>
        <w:pStyle w:val="BodyText"/>
        <w:numPr>
          <w:ilvl w:val="0"/>
          <w:numId w:val="16"/>
        </w:numPr>
        <w:spacing w:before="120" w:after="120"/>
        <w:ind w:left="1701" w:hanging="357"/>
        <w:rPr>
          <w:rFonts w:ascii="Calibri" w:hAnsi="Calibri" w:cs="Calibri"/>
          <w:color w:val="0072CE"/>
        </w:rPr>
      </w:pPr>
      <w:r w:rsidRPr="00217397">
        <w:rPr>
          <w:rFonts w:ascii="Calibri" w:hAnsi="Calibri" w:cs="Calibri"/>
          <w:color w:val="0072CE"/>
        </w:rPr>
        <w:t>Type 2 – common parts only (destructive), element of destruction on sample basis.</w:t>
      </w:r>
    </w:p>
    <w:p w14:paraId="6E1AE029" w14:textId="77777777" w:rsidR="00217397" w:rsidRPr="00217397" w:rsidRDefault="00217397" w:rsidP="00BD4771">
      <w:pPr>
        <w:pStyle w:val="BodyText"/>
        <w:numPr>
          <w:ilvl w:val="0"/>
          <w:numId w:val="16"/>
        </w:numPr>
        <w:spacing w:before="120" w:after="120"/>
        <w:ind w:left="1701" w:hanging="357"/>
        <w:rPr>
          <w:rFonts w:ascii="Calibri" w:hAnsi="Calibri" w:cs="Calibri"/>
          <w:color w:val="0072CE"/>
        </w:rPr>
      </w:pPr>
      <w:r w:rsidRPr="00217397">
        <w:rPr>
          <w:rFonts w:ascii="Calibri" w:hAnsi="Calibri" w:cs="Calibri"/>
          <w:color w:val="0072CE"/>
        </w:rPr>
        <w:t>Type 3 – common parts and flats (non-destructive), considers means of escape and fire detection within at least a sample of flats.</w:t>
      </w:r>
    </w:p>
    <w:p w14:paraId="18167152" w14:textId="77777777" w:rsidR="00217397" w:rsidRPr="00217397" w:rsidRDefault="00217397" w:rsidP="00BD4771">
      <w:pPr>
        <w:pStyle w:val="BodyText"/>
        <w:numPr>
          <w:ilvl w:val="0"/>
          <w:numId w:val="16"/>
        </w:numPr>
        <w:spacing w:before="120" w:after="120"/>
        <w:ind w:left="1701" w:hanging="357"/>
        <w:rPr>
          <w:rFonts w:ascii="Calibri" w:hAnsi="Calibri" w:cs="Calibri"/>
          <w:color w:val="0072CE"/>
        </w:rPr>
      </w:pPr>
      <w:r w:rsidRPr="00217397">
        <w:rPr>
          <w:rFonts w:ascii="Calibri" w:hAnsi="Calibri" w:cs="Calibri"/>
          <w:color w:val="0072CE"/>
        </w:rPr>
        <w:t>Type 4 – common parts and flats (destructive).</w:t>
      </w:r>
    </w:p>
    <w:p w14:paraId="300603F9" w14:textId="4CA43D50" w:rsidR="00217397" w:rsidRPr="00217397" w:rsidRDefault="00217397" w:rsidP="00217397">
      <w:pPr>
        <w:pStyle w:val="BodyText"/>
        <w:numPr>
          <w:ilvl w:val="0"/>
          <w:numId w:val="2"/>
        </w:numPr>
        <w:spacing w:before="120" w:after="120"/>
        <w:ind w:left="1276" w:hanging="357"/>
        <w:rPr>
          <w:rFonts w:ascii="Calibri" w:hAnsi="Calibri" w:cs="Calibri"/>
          <w:color w:val="0072CE"/>
        </w:rPr>
      </w:pPr>
      <w:r w:rsidRPr="00217397">
        <w:rPr>
          <w:rFonts w:ascii="Calibri" w:hAnsi="Calibri" w:cs="Calibri"/>
          <w:b/>
          <w:color w:val="0072CE"/>
        </w:rPr>
        <w:t>IFSM</w:t>
      </w:r>
      <w:r>
        <w:rPr>
          <w:rFonts w:ascii="Calibri" w:hAnsi="Calibri" w:cs="Calibri"/>
          <w:b/>
          <w:color w:val="0072CE"/>
        </w:rPr>
        <w:t xml:space="preserve"> -</w:t>
      </w:r>
      <w:r w:rsidRPr="00217397">
        <w:rPr>
          <w:rFonts w:ascii="Calibri" w:hAnsi="Calibri" w:cs="Calibri"/>
          <w:color w:val="0072CE"/>
        </w:rPr>
        <w:t xml:space="preserve"> The Institute of Fire Safety Managers.</w:t>
      </w:r>
    </w:p>
    <w:p w14:paraId="71D32F3C" w14:textId="15B67E6B" w:rsidR="00217397" w:rsidRPr="00217397" w:rsidRDefault="00217397" w:rsidP="00217397">
      <w:pPr>
        <w:pStyle w:val="BodyText"/>
        <w:numPr>
          <w:ilvl w:val="0"/>
          <w:numId w:val="2"/>
        </w:numPr>
        <w:spacing w:before="120" w:after="120"/>
        <w:ind w:left="1276" w:hanging="357"/>
        <w:rPr>
          <w:rFonts w:ascii="Calibri" w:hAnsi="Calibri" w:cs="Calibri"/>
          <w:color w:val="0072CE"/>
        </w:rPr>
      </w:pPr>
      <w:r w:rsidRPr="00217397">
        <w:rPr>
          <w:rFonts w:ascii="Calibri" w:hAnsi="Calibri" w:cs="Calibri"/>
          <w:b/>
          <w:color w:val="0072CE"/>
        </w:rPr>
        <w:t>PAS</w:t>
      </w:r>
      <w:r>
        <w:rPr>
          <w:rFonts w:ascii="Calibri" w:hAnsi="Calibri" w:cs="Calibri"/>
          <w:b/>
          <w:color w:val="0072CE"/>
        </w:rPr>
        <w:t xml:space="preserve"> </w:t>
      </w:r>
      <w:r w:rsidRPr="00217397">
        <w:rPr>
          <w:rFonts w:ascii="Calibri" w:hAnsi="Calibri" w:cs="Calibri"/>
          <w:b/>
          <w:color w:val="0072CE"/>
        </w:rPr>
        <w:t>79</w:t>
      </w:r>
      <w:r>
        <w:rPr>
          <w:rFonts w:ascii="Calibri" w:hAnsi="Calibri" w:cs="Calibri"/>
          <w:b/>
          <w:color w:val="0072CE"/>
        </w:rPr>
        <w:t>-1</w:t>
      </w:r>
      <w:r w:rsidRPr="00217397">
        <w:rPr>
          <w:rFonts w:ascii="Calibri" w:hAnsi="Calibri" w:cs="Calibri"/>
          <w:b/>
          <w:color w:val="0072CE"/>
        </w:rPr>
        <w:t>:</w:t>
      </w:r>
      <w:r>
        <w:rPr>
          <w:rFonts w:ascii="Calibri" w:hAnsi="Calibri" w:cs="Calibri"/>
          <w:b/>
          <w:color w:val="0072CE"/>
        </w:rPr>
        <w:t>2020 -</w:t>
      </w:r>
      <w:r w:rsidRPr="00217397">
        <w:rPr>
          <w:rFonts w:ascii="Calibri" w:hAnsi="Calibri" w:cs="Calibri"/>
          <w:color w:val="0072CE"/>
        </w:rPr>
        <w:t xml:space="preserve"> A publicly available specification published by the British Standards Institution which focuses on making sure that all the required information that pertains to both an FRA and its findings are recorded.</w:t>
      </w:r>
    </w:p>
    <w:p w14:paraId="4DC81173" w14:textId="5B58D4DA" w:rsidR="00217397" w:rsidRPr="00217397" w:rsidRDefault="00217397" w:rsidP="00217397">
      <w:pPr>
        <w:pStyle w:val="BodyText"/>
        <w:numPr>
          <w:ilvl w:val="0"/>
          <w:numId w:val="2"/>
        </w:numPr>
        <w:spacing w:before="120" w:after="120"/>
        <w:ind w:left="1276" w:hanging="357"/>
        <w:rPr>
          <w:rFonts w:ascii="Calibri" w:hAnsi="Calibri" w:cs="Calibri"/>
          <w:color w:val="0072CE"/>
        </w:rPr>
      </w:pPr>
      <w:r w:rsidRPr="00217397">
        <w:rPr>
          <w:rFonts w:ascii="Calibri" w:hAnsi="Calibri" w:cs="Calibri"/>
          <w:b/>
          <w:color w:val="0072CE"/>
        </w:rPr>
        <w:t>PEEP</w:t>
      </w:r>
      <w:r>
        <w:rPr>
          <w:rFonts w:ascii="Calibri" w:hAnsi="Calibri" w:cs="Calibri"/>
          <w:b/>
          <w:color w:val="0072CE"/>
        </w:rPr>
        <w:t xml:space="preserve"> -</w:t>
      </w:r>
      <w:r w:rsidRPr="00217397">
        <w:rPr>
          <w:rFonts w:ascii="Calibri" w:hAnsi="Calibri" w:cs="Calibri"/>
          <w:color w:val="0072CE"/>
        </w:rPr>
        <w:t xml:space="preserve"> A personal emergency evacuation plan is a bespoke escape plan for individuals who may not be able to reach an ultimate place of safety unaided or within a satisfactory </w:t>
      </w:r>
      <w:r w:rsidR="00282841" w:rsidRPr="00217397">
        <w:rPr>
          <w:rFonts w:ascii="Calibri" w:hAnsi="Calibri" w:cs="Calibri"/>
          <w:color w:val="0072CE"/>
        </w:rPr>
        <w:t>period</w:t>
      </w:r>
      <w:r w:rsidRPr="00217397">
        <w:rPr>
          <w:rFonts w:ascii="Calibri" w:hAnsi="Calibri" w:cs="Calibri"/>
          <w:color w:val="0072CE"/>
        </w:rPr>
        <w:t xml:space="preserve"> in the event of any emergency.</w:t>
      </w:r>
    </w:p>
    <w:p w14:paraId="0F523DF9" w14:textId="6C8D4CA7" w:rsidR="00217397" w:rsidRPr="00217397" w:rsidRDefault="00217397" w:rsidP="00217397">
      <w:pPr>
        <w:pStyle w:val="BodyText"/>
        <w:numPr>
          <w:ilvl w:val="0"/>
          <w:numId w:val="2"/>
        </w:numPr>
        <w:spacing w:before="120" w:after="120"/>
        <w:ind w:left="1276" w:hanging="357"/>
        <w:rPr>
          <w:rFonts w:ascii="Calibri" w:hAnsi="Calibri" w:cs="Calibri"/>
          <w:color w:val="0072CE"/>
        </w:rPr>
      </w:pPr>
      <w:r w:rsidRPr="00217397">
        <w:rPr>
          <w:rFonts w:ascii="Calibri" w:hAnsi="Calibri" w:cs="Calibri"/>
          <w:b/>
          <w:color w:val="0072CE"/>
        </w:rPr>
        <w:t>UKAS</w:t>
      </w:r>
      <w:r>
        <w:rPr>
          <w:rFonts w:ascii="Calibri" w:hAnsi="Calibri" w:cs="Calibri"/>
          <w:b/>
          <w:color w:val="0072CE"/>
        </w:rPr>
        <w:t xml:space="preserve"> -</w:t>
      </w:r>
      <w:r w:rsidRPr="00217397">
        <w:rPr>
          <w:rFonts w:ascii="Calibri" w:hAnsi="Calibri" w:cs="Calibri"/>
          <w:color w:val="0072CE"/>
        </w:rPr>
        <w:t xml:space="preserve"> The National Accreditation Body for the United Kingdom, appointed by government to assess and accredit organisations that provide services including certification, testing, inspection and calibration.</w:t>
      </w:r>
    </w:p>
    <w:sectPr w:rsidR="00217397" w:rsidRPr="00217397" w:rsidSect="00D774C7">
      <w:footerReference w:type="default" r:id="rId9"/>
      <w:pgSz w:w="11906" w:h="16838"/>
      <w:pgMar w:top="1440" w:right="1440" w:bottom="14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C7E49" w14:textId="77777777" w:rsidR="005E0195" w:rsidRDefault="005E0195">
      <w:r>
        <w:separator/>
      </w:r>
    </w:p>
  </w:endnote>
  <w:endnote w:type="continuationSeparator" w:id="0">
    <w:p w14:paraId="7DCB74FA" w14:textId="77777777" w:rsidR="005E0195" w:rsidRDefault="005E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E3D3" w14:textId="77777777" w:rsidR="00B12678" w:rsidRDefault="00B12678">
    <w:pPr>
      <w:pStyle w:val="Footer"/>
      <w:jc w:val="center"/>
      <w:rPr>
        <w:sz w:val="16"/>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FA587" w14:textId="77777777" w:rsidR="005E0195" w:rsidRDefault="005E0195">
      <w:r>
        <w:separator/>
      </w:r>
    </w:p>
  </w:footnote>
  <w:footnote w:type="continuationSeparator" w:id="0">
    <w:p w14:paraId="71941A42" w14:textId="77777777" w:rsidR="005E0195" w:rsidRDefault="005E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63"/>
    <w:multiLevelType w:val="hybridMultilevel"/>
    <w:tmpl w:val="68FC26AC"/>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15:restartNumberingAfterBreak="0">
    <w:nsid w:val="19395A72"/>
    <w:multiLevelType w:val="hybridMultilevel"/>
    <w:tmpl w:val="C3C600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B025B0C"/>
    <w:multiLevelType w:val="hybridMultilevel"/>
    <w:tmpl w:val="5120CD5A"/>
    <w:lvl w:ilvl="0" w:tplc="08090001">
      <w:start w:val="1"/>
      <w:numFmt w:val="bullet"/>
      <w:lvlText w:val=""/>
      <w:lvlJc w:val="left"/>
      <w:pPr>
        <w:ind w:left="1571" w:hanging="360"/>
      </w:pPr>
      <w:rPr>
        <w:rFonts w:ascii="Symbol" w:hAnsi="Symbol" w:hint="default"/>
      </w:rPr>
    </w:lvl>
    <w:lvl w:ilvl="1" w:tplc="0809000B">
      <w:start w:val="1"/>
      <w:numFmt w:val="bullet"/>
      <w:lvlText w:val=""/>
      <w:lvlJc w:val="left"/>
      <w:pPr>
        <w:ind w:left="2291" w:hanging="360"/>
      </w:pPr>
      <w:rPr>
        <w:rFonts w:ascii="Wingdings" w:hAnsi="Wingdings"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0E33D17"/>
    <w:multiLevelType w:val="hybridMultilevel"/>
    <w:tmpl w:val="A44A1CE8"/>
    <w:lvl w:ilvl="0" w:tplc="08090001">
      <w:start w:val="1"/>
      <w:numFmt w:val="bullet"/>
      <w:lvlText w:val=""/>
      <w:lvlJc w:val="left"/>
      <w:pPr>
        <w:ind w:left="5583" w:hanging="360"/>
      </w:pPr>
      <w:rPr>
        <w:rFonts w:ascii="Symbol" w:hAnsi="Symbol" w:hint="default"/>
      </w:rPr>
    </w:lvl>
    <w:lvl w:ilvl="1" w:tplc="08090003">
      <w:start w:val="1"/>
      <w:numFmt w:val="bullet"/>
      <w:lvlText w:val="o"/>
      <w:lvlJc w:val="left"/>
      <w:pPr>
        <w:ind w:left="6303" w:hanging="360"/>
      </w:pPr>
      <w:rPr>
        <w:rFonts w:ascii="Courier New" w:hAnsi="Courier New" w:cs="Courier New" w:hint="default"/>
      </w:rPr>
    </w:lvl>
    <w:lvl w:ilvl="2" w:tplc="08090005">
      <w:start w:val="1"/>
      <w:numFmt w:val="bullet"/>
      <w:lvlText w:val=""/>
      <w:lvlJc w:val="left"/>
      <w:pPr>
        <w:ind w:left="7023" w:hanging="360"/>
      </w:pPr>
      <w:rPr>
        <w:rFonts w:ascii="Wingdings" w:hAnsi="Wingdings" w:hint="default"/>
      </w:rPr>
    </w:lvl>
    <w:lvl w:ilvl="3" w:tplc="08090001" w:tentative="1">
      <w:start w:val="1"/>
      <w:numFmt w:val="bullet"/>
      <w:lvlText w:val=""/>
      <w:lvlJc w:val="left"/>
      <w:pPr>
        <w:ind w:left="7743" w:hanging="360"/>
      </w:pPr>
      <w:rPr>
        <w:rFonts w:ascii="Symbol" w:hAnsi="Symbol" w:hint="default"/>
      </w:rPr>
    </w:lvl>
    <w:lvl w:ilvl="4" w:tplc="08090003" w:tentative="1">
      <w:start w:val="1"/>
      <w:numFmt w:val="bullet"/>
      <w:lvlText w:val="o"/>
      <w:lvlJc w:val="left"/>
      <w:pPr>
        <w:ind w:left="8463" w:hanging="360"/>
      </w:pPr>
      <w:rPr>
        <w:rFonts w:ascii="Courier New" w:hAnsi="Courier New" w:cs="Courier New" w:hint="default"/>
      </w:rPr>
    </w:lvl>
    <w:lvl w:ilvl="5" w:tplc="08090005" w:tentative="1">
      <w:start w:val="1"/>
      <w:numFmt w:val="bullet"/>
      <w:lvlText w:val=""/>
      <w:lvlJc w:val="left"/>
      <w:pPr>
        <w:ind w:left="9183" w:hanging="360"/>
      </w:pPr>
      <w:rPr>
        <w:rFonts w:ascii="Wingdings" w:hAnsi="Wingdings" w:hint="default"/>
      </w:rPr>
    </w:lvl>
    <w:lvl w:ilvl="6" w:tplc="08090001" w:tentative="1">
      <w:start w:val="1"/>
      <w:numFmt w:val="bullet"/>
      <w:lvlText w:val=""/>
      <w:lvlJc w:val="left"/>
      <w:pPr>
        <w:ind w:left="9903" w:hanging="360"/>
      </w:pPr>
      <w:rPr>
        <w:rFonts w:ascii="Symbol" w:hAnsi="Symbol" w:hint="default"/>
      </w:rPr>
    </w:lvl>
    <w:lvl w:ilvl="7" w:tplc="08090003" w:tentative="1">
      <w:start w:val="1"/>
      <w:numFmt w:val="bullet"/>
      <w:lvlText w:val="o"/>
      <w:lvlJc w:val="left"/>
      <w:pPr>
        <w:ind w:left="10623" w:hanging="360"/>
      </w:pPr>
      <w:rPr>
        <w:rFonts w:ascii="Courier New" w:hAnsi="Courier New" w:cs="Courier New" w:hint="default"/>
      </w:rPr>
    </w:lvl>
    <w:lvl w:ilvl="8" w:tplc="08090005" w:tentative="1">
      <w:start w:val="1"/>
      <w:numFmt w:val="bullet"/>
      <w:lvlText w:val=""/>
      <w:lvlJc w:val="left"/>
      <w:pPr>
        <w:ind w:left="11343" w:hanging="360"/>
      </w:pPr>
      <w:rPr>
        <w:rFonts w:ascii="Wingdings" w:hAnsi="Wingdings" w:hint="default"/>
      </w:rPr>
    </w:lvl>
  </w:abstractNum>
  <w:abstractNum w:abstractNumId="4" w15:restartNumberingAfterBreak="0">
    <w:nsid w:val="310E327D"/>
    <w:multiLevelType w:val="hybridMultilevel"/>
    <w:tmpl w:val="2BCEFAC4"/>
    <w:lvl w:ilvl="0" w:tplc="0809000B">
      <w:start w:val="1"/>
      <w:numFmt w:val="bullet"/>
      <w:lvlText w:val=""/>
      <w:lvlJc w:val="left"/>
      <w:pPr>
        <w:ind w:left="5583" w:hanging="360"/>
      </w:pPr>
      <w:rPr>
        <w:rFonts w:ascii="Wingdings" w:hAnsi="Wingdings" w:hint="default"/>
      </w:rPr>
    </w:lvl>
    <w:lvl w:ilvl="1" w:tplc="08090003">
      <w:start w:val="1"/>
      <w:numFmt w:val="bullet"/>
      <w:lvlText w:val="o"/>
      <w:lvlJc w:val="left"/>
      <w:pPr>
        <w:ind w:left="6303" w:hanging="360"/>
      </w:pPr>
      <w:rPr>
        <w:rFonts w:ascii="Courier New" w:hAnsi="Courier New" w:cs="Courier New" w:hint="default"/>
      </w:rPr>
    </w:lvl>
    <w:lvl w:ilvl="2" w:tplc="08090005">
      <w:start w:val="1"/>
      <w:numFmt w:val="bullet"/>
      <w:lvlText w:val=""/>
      <w:lvlJc w:val="left"/>
      <w:pPr>
        <w:ind w:left="7023" w:hanging="360"/>
      </w:pPr>
      <w:rPr>
        <w:rFonts w:ascii="Wingdings" w:hAnsi="Wingdings" w:hint="default"/>
      </w:rPr>
    </w:lvl>
    <w:lvl w:ilvl="3" w:tplc="08090001" w:tentative="1">
      <w:start w:val="1"/>
      <w:numFmt w:val="bullet"/>
      <w:lvlText w:val=""/>
      <w:lvlJc w:val="left"/>
      <w:pPr>
        <w:ind w:left="7743" w:hanging="360"/>
      </w:pPr>
      <w:rPr>
        <w:rFonts w:ascii="Symbol" w:hAnsi="Symbol" w:hint="default"/>
      </w:rPr>
    </w:lvl>
    <w:lvl w:ilvl="4" w:tplc="08090003" w:tentative="1">
      <w:start w:val="1"/>
      <w:numFmt w:val="bullet"/>
      <w:lvlText w:val="o"/>
      <w:lvlJc w:val="left"/>
      <w:pPr>
        <w:ind w:left="8463" w:hanging="360"/>
      </w:pPr>
      <w:rPr>
        <w:rFonts w:ascii="Courier New" w:hAnsi="Courier New" w:cs="Courier New" w:hint="default"/>
      </w:rPr>
    </w:lvl>
    <w:lvl w:ilvl="5" w:tplc="08090005" w:tentative="1">
      <w:start w:val="1"/>
      <w:numFmt w:val="bullet"/>
      <w:lvlText w:val=""/>
      <w:lvlJc w:val="left"/>
      <w:pPr>
        <w:ind w:left="9183" w:hanging="360"/>
      </w:pPr>
      <w:rPr>
        <w:rFonts w:ascii="Wingdings" w:hAnsi="Wingdings" w:hint="default"/>
      </w:rPr>
    </w:lvl>
    <w:lvl w:ilvl="6" w:tplc="08090001" w:tentative="1">
      <w:start w:val="1"/>
      <w:numFmt w:val="bullet"/>
      <w:lvlText w:val=""/>
      <w:lvlJc w:val="left"/>
      <w:pPr>
        <w:ind w:left="9903" w:hanging="360"/>
      </w:pPr>
      <w:rPr>
        <w:rFonts w:ascii="Symbol" w:hAnsi="Symbol" w:hint="default"/>
      </w:rPr>
    </w:lvl>
    <w:lvl w:ilvl="7" w:tplc="08090003" w:tentative="1">
      <w:start w:val="1"/>
      <w:numFmt w:val="bullet"/>
      <w:lvlText w:val="o"/>
      <w:lvlJc w:val="left"/>
      <w:pPr>
        <w:ind w:left="10623" w:hanging="360"/>
      </w:pPr>
      <w:rPr>
        <w:rFonts w:ascii="Courier New" w:hAnsi="Courier New" w:cs="Courier New" w:hint="default"/>
      </w:rPr>
    </w:lvl>
    <w:lvl w:ilvl="8" w:tplc="08090005" w:tentative="1">
      <w:start w:val="1"/>
      <w:numFmt w:val="bullet"/>
      <w:lvlText w:val=""/>
      <w:lvlJc w:val="left"/>
      <w:pPr>
        <w:ind w:left="11343" w:hanging="360"/>
      </w:pPr>
      <w:rPr>
        <w:rFonts w:ascii="Wingdings" w:hAnsi="Wingdings" w:hint="default"/>
      </w:rPr>
    </w:lvl>
  </w:abstractNum>
  <w:abstractNum w:abstractNumId="5" w15:restartNumberingAfterBreak="0">
    <w:nsid w:val="378B7FFD"/>
    <w:multiLevelType w:val="hybridMultilevel"/>
    <w:tmpl w:val="C27E1228"/>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15:restartNumberingAfterBreak="0">
    <w:nsid w:val="3F1430E8"/>
    <w:multiLevelType w:val="hybridMultilevel"/>
    <w:tmpl w:val="C3869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A8749C"/>
    <w:multiLevelType w:val="multilevel"/>
    <w:tmpl w:val="13B8FBBC"/>
    <w:lvl w:ilvl="0">
      <w:start w:val="1"/>
      <w:numFmt w:val="decimal"/>
      <w:pStyle w:val="HeadedList"/>
      <w:lvlText w:val="%1.0"/>
      <w:lvlJc w:val="left"/>
      <w:pPr>
        <w:ind w:left="720" w:hanging="720"/>
      </w:pPr>
      <w:rPr>
        <w:rFonts w:hint="default"/>
      </w:rPr>
    </w:lvl>
    <w:lvl w:ilvl="1">
      <w:start w:val="1"/>
      <w:numFmt w:val="decimal"/>
      <w:pStyle w:val="ListParagraph1"/>
      <w:lvlText w:val="%1.%2"/>
      <w:lvlJc w:val="left"/>
      <w:pPr>
        <w:ind w:left="720" w:hanging="720"/>
      </w:pPr>
      <w:rPr>
        <w:rFonts w:ascii="Trebuchet MS" w:hAnsi="Trebuchet MS" w:hint="default"/>
        <w:b w:val="0"/>
        <w:i w:val="0"/>
        <w:color w:val="003671"/>
        <w:sz w:val="22"/>
      </w:rPr>
    </w:lvl>
    <w:lvl w:ilvl="2">
      <w:start w:val="1"/>
      <w:numFmt w:val="decimal"/>
      <w:lvlText w:val="%1.%2.%3"/>
      <w:lvlJc w:val="left"/>
      <w:pPr>
        <w:ind w:left="720" w:hanging="72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8" w15:restartNumberingAfterBreak="0">
    <w:nsid w:val="55696242"/>
    <w:multiLevelType w:val="hybridMultilevel"/>
    <w:tmpl w:val="7504A41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62703572"/>
    <w:multiLevelType w:val="hybridMultilevel"/>
    <w:tmpl w:val="239A4A3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65350EE"/>
    <w:multiLevelType w:val="multilevel"/>
    <w:tmpl w:val="6ABC2DF4"/>
    <w:lvl w:ilvl="0">
      <w:start w:val="1"/>
      <w:numFmt w:val="decimal"/>
      <w:pStyle w:val="Heading1"/>
      <w:lvlText w:val="%1."/>
      <w:lvlJc w:val="left"/>
      <w:pPr>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1"/>
      <w:lvlText w:val="%1.%2."/>
      <w:lvlJc w:val="left"/>
      <w:pPr>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BE58A6"/>
    <w:multiLevelType w:val="hybridMultilevel"/>
    <w:tmpl w:val="1AF8FC18"/>
    <w:lvl w:ilvl="0" w:tplc="E63E9214">
      <w:start w:val="1"/>
      <w:numFmt w:val="bullet"/>
      <w:lvlText w:val=""/>
      <w:lvlJc w:val="left"/>
      <w:pPr>
        <w:ind w:left="1500" w:hanging="360"/>
      </w:pPr>
      <w:rPr>
        <w:rFonts w:ascii="Symbol" w:hAnsi="Symbol" w:hint="default"/>
        <w:color w:val="0072CE"/>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6E841BCF"/>
    <w:multiLevelType w:val="hybridMultilevel"/>
    <w:tmpl w:val="FF32DFD8"/>
    <w:lvl w:ilvl="0" w:tplc="0809000F">
      <w:start w:val="1"/>
      <w:numFmt w:val="decimal"/>
      <w:lvlText w:val="%1."/>
      <w:lvlJc w:val="left"/>
      <w:pPr>
        <w:ind w:left="2563" w:hanging="360"/>
      </w:pPr>
      <w:rPr>
        <w:rFonts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 w15:restartNumberingAfterBreak="0">
    <w:nsid w:val="71870EA1"/>
    <w:multiLevelType w:val="hybridMultilevel"/>
    <w:tmpl w:val="AFCA6072"/>
    <w:lvl w:ilvl="0" w:tplc="E2EE75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1EF3054"/>
    <w:multiLevelType w:val="hybridMultilevel"/>
    <w:tmpl w:val="5BC644A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7DFE4C19"/>
    <w:multiLevelType w:val="hybridMultilevel"/>
    <w:tmpl w:val="4844B7A4"/>
    <w:lvl w:ilvl="0" w:tplc="0809000B">
      <w:start w:val="1"/>
      <w:numFmt w:val="bullet"/>
      <w:lvlText w:val=""/>
      <w:lvlJc w:val="left"/>
      <w:pPr>
        <w:ind w:left="1980" w:hanging="360"/>
      </w:pPr>
      <w:rPr>
        <w:rFonts w:ascii="Wingdings" w:hAnsi="Wingdings" w:hint="default"/>
      </w:rPr>
    </w:lvl>
    <w:lvl w:ilvl="1" w:tplc="08090003">
      <w:start w:val="1"/>
      <w:numFmt w:val="bullet"/>
      <w:lvlText w:val="o"/>
      <w:lvlJc w:val="left"/>
      <w:pPr>
        <w:ind w:left="2700" w:hanging="360"/>
      </w:pPr>
      <w:rPr>
        <w:rFonts w:ascii="Courier New" w:hAnsi="Courier New" w:cs="Courier New" w:hint="default"/>
      </w:rPr>
    </w:lvl>
    <w:lvl w:ilvl="2" w:tplc="08090005">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num w:numId="1" w16cid:durableId="735711554">
    <w:abstractNumId w:val="14"/>
  </w:num>
  <w:num w:numId="2" w16cid:durableId="1791632339">
    <w:abstractNumId w:val="3"/>
  </w:num>
  <w:num w:numId="3" w16cid:durableId="1801070787">
    <w:abstractNumId w:val="13"/>
  </w:num>
  <w:num w:numId="4" w16cid:durableId="356005354">
    <w:abstractNumId w:val="6"/>
  </w:num>
  <w:num w:numId="5" w16cid:durableId="2113235646">
    <w:abstractNumId w:val="11"/>
  </w:num>
  <w:num w:numId="6" w16cid:durableId="1775519871">
    <w:abstractNumId w:val="10"/>
  </w:num>
  <w:num w:numId="7" w16cid:durableId="640186647">
    <w:abstractNumId w:val="9"/>
  </w:num>
  <w:num w:numId="8" w16cid:durableId="401829727">
    <w:abstractNumId w:val="7"/>
  </w:num>
  <w:num w:numId="9" w16cid:durableId="777023665">
    <w:abstractNumId w:val="2"/>
  </w:num>
  <w:num w:numId="10" w16cid:durableId="1334529066">
    <w:abstractNumId w:val="8"/>
  </w:num>
  <w:num w:numId="11" w16cid:durableId="416289579">
    <w:abstractNumId w:val="0"/>
  </w:num>
  <w:num w:numId="12" w16cid:durableId="1018580467">
    <w:abstractNumId w:val="15"/>
  </w:num>
  <w:num w:numId="13" w16cid:durableId="1304045021">
    <w:abstractNumId w:val="1"/>
  </w:num>
  <w:num w:numId="14" w16cid:durableId="1250193784">
    <w:abstractNumId w:val="4"/>
  </w:num>
  <w:num w:numId="15" w16cid:durableId="1493986874">
    <w:abstractNumId w:val="12"/>
  </w:num>
  <w:num w:numId="16" w16cid:durableId="124060156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8D"/>
    <w:rsid w:val="00002202"/>
    <w:rsid w:val="000055B7"/>
    <w:rsid w:val="000059CB"/>
    <w:rsid w:val="00005E7F"/>
    <w:rsid w:val="0000613B"/>
    <w:rsid w:val="00012827"/>
    <w:rsid w:val="00013204"/>
    <w:rsid w:val="00016FDF"/>
    <w:rsid w:val="0001718C"/>
    <w:rsid w:val="000237AC"/>
    <w:rsid w:val="00023F3B"/>
    <w:rsid w:val="00026370"/>
    <w:rsid w:val="00027595"/>
    <w:rsid w:val="00037353"/>
    <w:rsid w:val="000401F4"/>
    <w:rsid w:val="00040E8F"/>
    <w:rsid w:val="00041150"/>
    <w:rsid w:val="0004129B"/>
    <w:rsid w:val="00042FF0"/>
    <w:rsid w:val="0004691A"/>
    <w:rsid w:val="00051181"/>
    <w:rsid w:val="00052D29"/>
    <w:rsid w:val="00052F6B"/>
    <w:rsid w:val="0006234C"/>
    <w:rsid w:val="0007369A"/>
    <w:rsid w:val="00073C0C"/>
    <w:rsid w:val="00075F11"/>
    <w:rsid w:val="000865BE"/>
    <w:rsid w:val="00086A4A"/>
    <w:rsid w:val="000A38D3"/>
    <w:rsid w:val="000A4DB2"/>
    <w:rsid w:val="000A7D93"/>
    <w:rsid w:val="000B6530"/>
    <w:rsid w:val="000B65FA"/>
    <w:rsid w:val="000C19B1"/>
    <w:rsid w:val="000C2DFE"/>
    <w:rsid w:val="000C6E0D"/>
    <w:rsid w:val="000C7CAA"/>
    <w:rsid w:val="000D1F3A"/>
    <w:rsid w:val="000D2A96"/>
    <w:rsid w:val="000D48E0"/>
    <w:rsid w:val="000D5515"/>
    <w:rsid w:val="000D771D"/>
    <w:rsid w:val="000E1436"/>
    <w:rsid w:val="000E36DB"/>
    <w:rsid w:val="000F47FA"/>
    <w:rsid w:val="00101FA4"/>
    <w:rsid w:val="001051D9"/>
    <w:rsid w:val="00105820"/>
    <w:rsid w:val="00106260"/>
    <w:rsid w:val="0010728B"/>
    <w:rsid w:val="001137DC"/>
    <w:rsid w:val="00116653"/>
    <w:rsid w:val="001222DF"/>
    <w:rsid w:val="001243EA"/>
    <w:rsid w:val="00124DF2"/>
    <w:rsid w:val="0012552C"/>
    <w:rsid w:val="00130F6F"/>
    <w:rsid w:val="001316D7"/>
    <w:rsid w:val="00132DE7"/>
    <w:rsid w:val="00134944"/>
    <w:rsid w:val="0014671E"/>
    <w:rsid w:val="00146F0A"/>
    <w:rsid w:val="00147FA4"/>
    <w:rsid w:val="00151AD9"/>
    <w:rsid w:val="00152F2F"/>
    <w:rsid w:val="00153BF1"/>
    <w:rsid w:val="00154636"/>
    <w:rsid w:val="001570BB"/>
    <w:rsid w:val="0015773B"/>
    <w:rsid w:val="00164767"/>
    <w:rsid w:val="00166A4B"/>
    <w:rsid w:val="001741CA"/>
    <w:rsid w:val="001746F4"/>
    <w:rsid w:val="00176131"/>
    <w:rsid w:val="00182CD4"/>
    <w:rsid w:val="0019243D"/>
    <w:rsid w:val="001938D0"/>
    <w:rsid w:val="00195A83"/>
    <w:rsid w:val="001A24D0"/>
    <w:rsid w:val="001A298D"/>
    <w:rsid w:val="001A48F3"/>
    <w:rsid w:val="001B41AB"/>
    <w:rsid w:val="001D252D"/>
    <w:rsid w:val="001D4449"/>
    <w:rsid w:val="001D5D93"/>
    <w:rsid w:val="001E22FE"/>
    <w:rsid w:val="001E3200"/>
    <w:rsid w:val="001E34A2"/>
    <w:rsid w:val="001E7BDA"/>
    <w:rsid w:val="001F0504"/>
    <w:rsid w:val="001F1F86"/>
    <w:rsid w:val="002017F9"/>
    <w:rsid w:val="0020363C"/>
    <w:rsid w:val="0021097D"/>
    <w:rsid w:val="00217397"/>
    <w:rsid w:val="00223001"/>
    <w:rsid w:val="00225F2F"/>
    <w:rsid w:val="0023001F"/>
    <w:rsid w:val="00231D8C"/>
    <w:rsid w:val="002354CA"/>
    <w:rsid w:val="0023638A"/>
    <w:rsid w:val="00236EF2"/>
    <w:rsid w:val="00241584"/>
    <w:rsid w:val="0024518D"/>
    <w:rsid w:val="0025736C"/>
    <w:rsid w:val="00257CF9"/>
    <w:rsid w:val="00257E3F"/>
    <w:rsid w:val="00260F15"/>
    <w:rsid w:val="002725CC"/>
    <w:rsid w:val="00281032"/>
    <w:rsid w:val="00282841"/>
    <w:rsid w:val="002828FC"/>
    <w:rsid w:val="0029009B"/>
    <w:rsid w:val="00294ECF"/>
    <w:rsid w:val="0029737C"/>
    <w:rsid w:val="002A30C1"/>
    <w:rsid w:val="002A398A"/>
    <w:rsid w:val="002A458A"/>
    <w:rsid w:val="002A7A9E"/>
    <w:rsid w:val="002B0C0A"/>
    <w:rsid w:val="002B125D"/>
    <w:rsid w:val="002B69C4"/>
    <w:rsid w:val="002C0E05"/>
    <w:rsid w:val="002C70D2"/>
    <w:rsid w:val="002D3F57"/>
    <w:rsid w:val="002D6909"/>
    <w:rsid w:val="002E32CA"/>
    <w:rsid w:val="002E4C78"/>
    <w:rsid w:val="002F07F0"/>
    <w:rsid w:val="002F7CAD"/>
    <w:rsid w:val="00302CE3"/>
    <w:rsid w:val="00304276"/>
    <w:rsid w:val="00304830"/>
    <w:rsid w:val="003119D3"/>
    <w:rsid w:val="00316D23"/>
    <w:rsid w:val="0032027C"/>
    <w:rsid w:val="003208B2"/>
    <w:rsid w:val="00320B65"/>
    <w:rsid w:val="00322B1C"/>
    <w:rsid w:val="00335876"/>
    <w:rsid w:val="00336F1C"/>
    <w:rsid w:val="003407FA"/>
    <w:rsid w:val="00347AFF"/>
    <w:rsid w:val="00356A4E"/>
    <w:rsid w:val="00356A8D"/>
    <w:rsid w:val="00360A95"/>
    <w:rsid w:val="00361FF5"/>
    <w:rsid w:val="003629D6"/>
    <w:rsid w:val="0036769F"/>
    <w:rsid w:val="00374332"/>
    <w:rsid w:val="0037534F"/>
    <w:rsid w:val="00382DB5"/>
    <w:rsid w:val="00390DF1"/>
    <w:rsid w:val="00391640"/>
    <w:rsid w:val="00393B78"/>
    <w:rsid w:val="00395CE3"/>
    <w:rsid w:val="003962D5"/>
    <w:rsid w:val="003A559A"/>
    <w:rsid w:val="003A7DC5"/>
    <w:rsid w:val="003B7A29"/>
    <w:rsid w:val="003C1DBA"/>
    <w:rsid w:val="003C47E0"/>
    <w:rsid w:val="003C6F5C"/>
    <w:rsid w:val="003D0168"/>
    <w:rsid w:val="003D1114"/>
    <w:rsid w:val="003D5805"/>
    <w:rsid w:val="003D58F3"/>
    <w:rsid w:val="003E1B52"/>
    <w:rsid w:val="003F1694"/>
    <w:rsid w:val="003F23A7"/>
    <w:rsid w:val="003F3D86"/>
    <w:rsid w:val="003F40E5"/>
    <w:rsid w:val="00400376"/>
    <w:rsid w:val="00402E8B"/>
    <w:rsid w:val="00405B5B"/>
    <w:rsid w:val="00411053"/>
    <w:rsid w:val="004128C5"/>
    <w:rsid w:val="004149A2"/>
    <w:rsid w:val="00416B9E"/>
    <w:rsid w:val="00417C51"/>
    <w:rsid w:val="00422861"/>
    <w:rsid w:val="00422B69"/>
    <w:rsid w:val="004240B0"/>
    <w:rsid w:val="004320B3"/>
    <w:rsid w:val="00433934"/>
    <w:rsid w:val="00435CFD"/>
    <w:rsid w:val="00440E1E"/>
    <w:rsid w:val="004522E1"/>
    <w:rsid w:val="0045441C"/>
    <w:rsid w:val="00455E45"/>
    <w:rsid w:val="00472775"/>
    <w:rsid w:val="00473846"/>
    <w:rsid w:val="004745E1"/>
    <w:rsid w:val="0047588A"/>
    <w:rsid w:val="004777F7"/>
    <w:rsid w:val="004836E2"/>
    <w:rsid w:val="00492B23"/>
    <w:rsid w:val="00496821"/>
    <w:rsid w:val="004A0F07"/>
    <w:rsid w:val="004A131E"/>
    <w:rsid w:val="004A779A"/>
    <w:rsid w:val="004B0D94"/>
    <w:rsid w:val="004D2364"/>
    <w:rsid w:val="004D44C6"/>
    <w:rsid w:val="004D589E"/>
    <w:rsid w:val="004E13B1"/>
    <w:rsid w:val="004E304B"/>
    <w:rsid w:val="004E40C4"/>
    <w:rsid w:val="004E480B"/>
    <w:rsid w:val="004E7151"/>
    <w:rsid w:val="004F25D0"/>
    <w:rsid w:val="00502007"/>
    <w:rsid w:val="00503053"/>
    <w:rsid w:val="0050669F"/>
    <w:rsid w:val="00513CF7"/>
    <w:rsid w:val="00516BB3"/>
    <w:rsid w:val="00530059"/>
    <w:rsid w:val="00534A9F"/>
    <w:rsid w:val="0053599A"/>
    <w:rsid w:val="00536E63"/>
    <w:rsid w:val="00541659"/>
    <w:rsid w:val="005419AA"/>
    <w:rsid w:val="00543FCD"/>
    <w:rsid w:val="00544398"/>
    <w:rsid w:val="00555F63"/>
    <w:rsid w:val="00565478"/>
    <w:rsid w:val="0056660A"/>
    <w:rsid w:val="00566BE3"/>
    <w:rsid w:val="0056753C"/>
    <w:rsid w:val="00567A76"/>
    <w:rsid w:val="00567AA4"/>
    <w:rsid w:val="005701F2"/>
    <w:rsid w:val="00572374"/>
    <w:rsid w:val="005737EC"/>
    <w:rsid w:val="005837A0"/>
    <w:rsid w:val="005844C9"/>
    <w:rsid w:val="00584D15"/>
    <w:rsid w:val="00590507"/>
    <w:rsid w:val="00591F21"/>
    <w:rsid w:val="005926C6"/>
    <w:rsid w:val="005978A6"/>
    <w:rsid w:val="005A0941"/>
    <w:rsid w:val="005A331A"/>
    <w:rsid w:val="005A4F5C"/>
    <w:rsid w:val="005B4863"/>
    <w:rsid w:val="005B7724"/>
    <w:rsid w:val="005C15EF"/>
    <w:rsid w:val="005C1D69"/>
    <w:rsid w:val="005C3E9F"/>
    <w:rsid w:val="005C68F4"/>
    <w:rsid w:val="005D4FF8"/>
    <w:rsid w:val="005E0195"/>
    <w:rsid w:val="005E1FDD"/>
    <w:rsid w:val="005E26D9"/>
    <w:rsid w:val="005E2BA0"/>
    <w:rsid w:val="005E5872"/>
    <w:rsid w:val="005F1EC1"/>
    <w:rsid w:val="005F7271"/>
    <w:rsid w:val="00603F2C"/>
    <w:rsid w:val="00605484"/>
    <w:rsid w:val="0060741F"/>
    <w:rsid w:val="00612A72"/>
    <w:rsid w:val="00613E3D"/>
    <w:rsid w:val="00617746"/>
    <w:rsid w:val="00624245"/>
    <w:rsid w:val="00626D49"/>
    <w:rsid w:val="00631C75"/>
    <w:rsid w:val="006409DC"/>
    <w:rsid w:val="006411E1"/>
    <w:rsid w:val="006452D9"/>
    <w:rsid w:val="006461D9"/>
    <w:rsid w:val="006519DD"/>
    <w:rsid w:val="006528BE"/>
    <w:rsid w:val="006558CF"/>
    <w:rsid w:val="00661963"/>
    <w:rsid w:val="00665132"/>
    <w:rsid w:val="006710FA"/>
    <w:rsid w:val="00674CD3"/>
    <w:rsid w:val="00674EA8"/>
    <w:rsid w:val="006916AD"/>
    <w:rsid w:val="00694DC4"/>
    <w:rsid w:val="00696A01"/>
    <w:rsid w:val="006A0854"/>
    <w:rsid w:val="006A57BC"/>
    <w:rsid w:val="006A5B99"/>
    <w:rsid w:val="006B3216"/>
    <w:rsid w:val="006B412A"/>
    <w:rsid w:val="006B4143"/>
    <w:rsid w:val="006C2CD7"/>
    <w:rsid w:val="006C54EB"/>
    <w:rsid w:val="006C61D8"/>
    <w:rsid w:val="006D1209"/>
    <w:rsid w:val="006D4707"/>
    <w:rsid w:val="006D4FF1"/>
    <w:rsid w:val="006E053A"/>
    <w:rsid w:val="00703294"/>
    <w:rsid w:val="007103F6"/>
    <w:rsid w:val="00712063"/>
    <w:rsid w:val="00714C98"/>
    <w:rsid w:val="00715DBE"/>
    <w:rsid w:val="007169A3"/>
    <w:rsid w:val="00727660"/>
    <w:rsid w:val="00733BCE"/>
    <w:rsid w:val="0073566C"/>
    <w:rsid w:val="00735C0D"/>
    <w:rsid w:val="00736139"/>
    <w:rsid w:val="0074073C"/>
    <w:rsid w:val="00744297"/>
    <w:rsid w:val="007445DA"/>
    <w:rsid w:val="007468F0"/>
    <w:rsid w:val="007513E9"/>
    <w:rsid w:val="00753270"/>
    <w:rsid w:val="00754D0B"/>
    <w:rsid w:val="00761D79"/>
    <w:rsid w:val="00762049"/>
    <w:rsid w:val="00764648"/>
    <w:rsid w:val="00764C5B"/>
    <w:rsid w:val="007671A4"/>
    <w:rsid w:val="00771C4F"/>
    <w:rsid w:val="00777020"/>
    <w:rsid w:val="0077736A"/>
    <w:rsid w:val="0078082A"/>
    <w:rsid w:val="00780EEF"/>
    <w:rsid w:val="0078313C"/>
    <w:rsid w:val="00783F20"/>
    <w:rsid w:val="00787CCB"/>
    <w:rsid w:val="007903E7"/>
    <w:rsid w:val="007914D2"/>
    <w:rsid w:val="00792169"/>
    <w:rsid w:val="007941E5"/>
    <w:rsid w:val="007A6238"/>
    <w:rsid w:val="007B1549"/>
    <w:rsid w:val="007C1B7D"/>
    <w:rsid w:val="007C2FFF"/>
    <w:rsid w:val="007D4671"/>
    <w:rsid w:val="007E290F"/>
    <w:rsid w:val="007F5869"/>
    <w:rsid w:val="007F5943"/>
    <w:rsid w:val="00801502"/>
    <w:rsid w:val="008016A9"/>
    <w:rsid w:val="008025B3"/>
    <w:rsid w:val="00802D7B"/>
    <w:rsid w:val="00804A96"/>
    <w:rsid w:val="00811CC0"/>
    <w:rsid w:val="00812DB0"/>
    <w:rsid w:val="0081626C"/>
    <w:rsid w:val="008200CD"/>
    <w:rsid w:val="008226CC"/>
    <w:rsid w:val="008227B7"/>
    <w:rsid w:val="00826B2B"/>
    <w:rsid w:val="00831EE7"/>
    <w:rsid w:val="00832B0B"/>
    <w:rsid w:val="00835941"/>
    <w:rsid w:val="00835EA0"/>
    <w:rsid w:val="008375B6"/>
    <w:rsid w:val="00840AEE"/>
    <w:rsid w:val="00853CFF"/>
    <w:rsid w:val="00861AF5"/>
    <w:rsid w:val="0087004A"/>
    <w:rsid w:val="00870E5F"/>
    <w:rsid w:val="00871AE9"/>
    <w:rsid w:val="00871F9A"/>
    <w:rsid w:val="008821B2"/>
    <w:rsid w:val="00886B9E"/>
    <w:rsid w:val="008871AB"/>
    <w:rsid w:val="008A1BFF"/>
    <w:rsid w:val="008A54EF"/>
    <w:rsid w:val="008A6CE9"/>
    <w:rsid w:val="008B040C"/>
    <w:rsid w:val="008B1B54"/>
    <w:rsid w:val="008B2906"/>
    <w:rsid w:val="008B6AAE"/>
    <w:rsid w:val="008B7F6C"/>
    <w:rsid w:val="008C312C"/>
    <w:rsid w:val="008C47C4"/>
    <w:rsid w:val="008D64A8"/>
    <w:rsid w:val="008E047B"/>
    <w:rsid w:val="008E1389"/>
    <w:rsid w:val="008E14D8"/>
    <w:rsid w:val="008E1EAC"/>
    <w:rsid w:val="008E6799"/>
    <w:rsid w:val="008F13CF"/>
    <w:rsid w:val="008F30B7"/>
    <w:rsid w:val="008F40F8"/>
    <w:rsid w:val="008F6652"/>
    <w:rsid w:val="00904426"/>
    <w:rsid w:val="009047EE"/>
    <w:rsid w:val="0091496A"/>
    <w:rsid w:val="00916D80"/>
    <w:rsid w:val="00922CE8"/>
    <w:rsid w:val="0093126B"/>
    <w:rsid w:val="00931B12"/>
    <w:rsid w:val="009324B9"/>
    <w:rsid w:val="00933CF8"/>
    <w:rsid w:val="00935DBF"/>
    <w:rsid w:val="00946E54"/>
    <w:rsid w:val="0095286A"/>
    <w:rsid w:val="009530FE"/>
    <w:rsid w:val="00955324"/>
    <w:rsid w:val="00957522"/>
    <w:rsid w:val="00957EB4"/>
    <w:rsid w:val="00963AF1"/>
    <w:rsid w:val="0096510C"/>
    <w:rsid w:val="00970B79"/>
    <w:rsid w:val="00971DBD"/>
    <w:rsid w:val="00973BAA"/>
    <w:rsid w:val="0097409F"/>
    <w:rsid w:val="0097463B"/>
    <w:rsid w:val="00983927"/>
    <w:rsid w:val="009842C9"/>
    <w:rsid w:val="00985C13"/>
    <w:rsid w:val="009967EB"/>
    <w:rsid w:val="009974BE"/>
    <w:rsid w:val="009A7025"/>
    <w:rsid w:val="009B668C"/>
    <w:rsid w:val="009C74EA"/>
    <w:rsid w:val="009C7AC7"/>
    <w:rsid w:val="009C7FBC"/>
    <w:rsid w:val="009D0688"/>
    <w:rsid w:val="009D28C3"/>
    <w:rsid w:val="009E2194"/>
    <w:rsid w:val="009E3DD2"/>
    <w:rsid w:val="009E4040"/>
    <w:rsid w:val="009E53DF"/>
    <w:rsid w:val="009E5530"/>
    <w:rsid w:val="009E5BB9"/>
    <w:rsid w:val="009F4A97"/>
    <w:rsid w:val="00A0678F"/>
    <w:rsid w:val="00A0759F"/>
    <w:rsid w:val="00A200EA"/>
    <w:rsid w:val="00A3376E"/>
    <w:rsid w:val="00A37024"/>
    <w:rsid w:val="00A51620"/>
    <w:rsid w:val="00A57903"/>
    <w:rsid w:val="00A62EA5"/>
    <w:rsid w:val="00A652F1"/>
    <w:rsid w:val="00A6556A"/>
    <w:rsid w:val="00A66BF3"/>
    <w:rsid w:val="00A7229B"/>
    <w:rsid w:val="00A73485"/>
    <w:rsid w:val="00A73659"/>
    <w:rsid w:val="00A77279"/>
    <w:rsid w:val="00A77CDE"/>
    <w:rsid w:val="00A9235D"/>
    <w:rsid w:val="00A94115"/>
    <w:rsid w:val="00A95438"/>
    <w:rsid w:val="00A95ED5"/>
    <w:rsid w:val="00A97FAF"/>
    <w:rsid w:val="00AA0456"/>
    <w:rsid w:val="00AA0646"/>
    <w:rsid w:val="00AB3962"/>
    <w:rsid w:val="00AB4989"/>
    <w:rsid w:val="00AC2A3A"/>
    <w:rsid w:val="00AC4B2A"/>
    <w:rsid w:val="00AC52B0"/>
    <w:rsid w:val="00AC69B8"/>
    <w:rsid w:val="00AD00BC"/>
    <w:rsid w:val="00AE2AEF"/>
    <w:rsid w:val="00AF0435"/>
    <w:rsid w:val="00AF273F"/>
    <w:rsid w:val="00AF6B3F"/>
    <w:rsid w:val="00AF7425"/>
    <w:rsid w:val="00B02BFB"/>
    <w:rsid w:val="00B03290"/>
    <w:rsid w:val="00B04480"/>
    <w:rsid w:val="00B12678"/>
    <w:rsid w:val="00B15CA6"/>
    <w:rsid w:val="00B16B3C"/>
    <w:rsid w:val="00B17932"/>
    <w:rsid w:val="00B20072"/>
    <w:rsid w:val="00B20648"/>
    <w:rsid w:val="00B23BFE"/>
    <w:rsid w:val="00B26846"/>
    <w:rsid w:val="00B4366C"/>
    <w:rsid w:val="00B4707E"/>
    <w:rsid w:val="00B50541"/>
    <w:rsid w:val="00B568C3"/>
    <w:rsid w:val="00B6525D"/>
    <w:rsid w:val="00B739FA"/>
    <w:rsid w:val="00B7738D"/>
    <w:rsid w:val="00B801DB"/>
    <w:rsid w:val="00B80FF7"/>
    <w:rsid w:val="00B813DF"/>
    <w:rsid w:val="00B824F9"/>
    <w:rsid w:val="00B837AD"/>
    <w:rsid w:val="00B85A36"/>
    <w:rsid w:val="00B9128F"/>
    <w:rsid w:val="00B9317F"/>
    <w:rsid w:val="00B932FA"/>
    <w:rsid w:val="00B97CE0"/>
    <w:rsid w:val="00BA1831"/>
    <w:rsid w:val="00BB2BC5"/>
    <w:rsid w:val="00BD0930"/>
    <w:rsid w:val="00BD1174"/>
    <w:rsid w:val="00BD4771"/>
    <w:rsid w:val="00BD6491"/>
    <w:rsid w:val="00BD7FEC"/>
    <w:rsid w:val="00BE0CAD"/>
    <w:rsid w:val="00BE3FE5"/>
    <w:rsid w:val="00BE53BA"/>
    <w:rsid w:val="00BE755C"/>
    <w:rsid w:val="00BE7B8D"/>
    <w:rsid w:val="00BF17E1"/>
    <w:rsid w:val="00BF1DED"/>
    <w:rsid w:val="00BF3D1F"/>
    <w:rsid w:val="00BF3F82"/>
    <w:rsid w:val="00BF6281"/>
    <w:rsid w:val="00BF7A97"/>
    <w:rsid w:val="00C00BAA"/>
    <w:rsid w:val="00C0375A"/>
    <w:rsid w:val="00C045A3"/>
    <w:rsid w:val="00C06431"/>
    <w:rsid w:val="00C20B31"/>
    <w:rsid w:val="00C20DB7"/>
    <w:rsid w:val="00C213C6"/>
    <w:rsid w:val="00C22952"/>
    <w:rsid w:val="00C33FA8"/>
    <w:rsid w:val="00C343AC"/>
    <w:rsid w:val="00C3714B"/>
    <w:rsid w:val="00C44323"/>
    <w:rsid w:val="00C45553"/>
    <w:rsid w:val="00C501EB"/>
    <w:rsid w:val="00C51883"/>
    <w:rsid w:val="00C538A8"/>
    <w:rsid w:val="00C55EFA"/>
    <w:rsid w:val="00C56000"/>
    <w:rsid w:val="00C604EE"/>
    <w:rsid w:val="00C64B83"/>
    <w:rsid w:val="00C64F8E"/>
    <w:rsid w:val="00C75048"/>
    <w:rsid w:val="00C81B10"/>
    <w:rsid w:val="00C8217B"/>
    <w:rsid w:val="00C822B3"/>
    <w:rsid w:val="00C84C39"/>
    <w:rsid w:val="00C93503"/>
    <w:rsid w:val="00C963B5"/>
    <w:rsid w:val="00CA00F5"/>
    <w:rsid w:val="00CA13F8"/>
    <w:rsid w:val="00CA555E"/>
    <w:rsid w:val="00CA59D0"/>
    <w:rsid w:val="00CA7F78"/>
    <w:rsid w:val="00CB2481"/>
    <w:rsid w:val="00CB68BA"/>
    <w:rsid w:val="00CC2DFC"/>
    <w:rsid w:val="00CC7C8F"/>
    <w:rsid w:val="00CD13BA"/>
    <w:rsid w:val="00CD70FA"/>
    <w:rsid w:val="00CE4C00"/>
    <w:rsid w:val="00CE5DAD"/>
    <w:rsid w:val="00CE60DA"/>
    <w:rsid w:val="00CF2E2B"/>
    <w:rsid w:val="00CF44C8"/>
    <w:rsid w:val="00D038CD"/>
    <w:rsid w:val="00D10BBF"/>
    <w:rsid w:val="00D113B5"/>
    <w:rsid w:val="00D212B5"/>
    <w:rsid w:val="00D2365C"/>
    <w:rsid w:val="00D31CF4"/>
    <w:rsid w:val="00D32E58"/>
    <w:rsid w:val="00D40D60"/>
    <w:rsid w:val="00D40FEC"/>
    <w:rsid w:val="00D4247A"/>
    <w:rsid w:val="00D53B97"/>
    <w:rsid w:val="00D561A4"/>
    <w:rsid w:val="00D60412"/>
    <w:rsid w:val="00D60A9E"/>
    <w:rsid w:val="00D70A28"/>
    <w:rsid w:val="00D71799"/>
    <w:rsid w:val="00D7226B"/>
    <w:rsid w:val="00D7344E"/>
    <w:rsid w:val="00D743CD"/>
    <w:rsid w:val="00D774C7"/>
    <w:rsid w:val="00D805B7"/>
    <w:rsid w:val="00D82078"/>
    <w:rsid w:val="00D86C32"/>
    <w:rsid w:val="00D93812"/>
    <w:rsid w:val="00D95B32"/>
    <w:rsid w:val="00D963AD"/>
    <w:rsid w:val="00DA4B69"/>
    <w:rsid w:val="00DA4BC3"/>
    <w:rsid w:val="00DA7077"/>
    <w:rsid w:val="00DB3E1B"/>
    <w:rsid w:val="00DB6752"/>
    <w:rsid w:val="00DB777D"/>
    <w:rsid w:val="00DB7E18"/>
    <w:rsid w:val="00DC193C"/>
    <w:rsid w:val="00DC54D0"/>
    <w:rsid w:val="00DD176D"/>
    <w:rsid w:val="00DE3C3E"/>
    <w:rsid w:val="00DF0A1C"/>
    <w:rsid w:val="00DF17E2"/>
    <w:rsid w:val="00DF6E45"/>
    <w:rsid w:val="00E00157"/>
    <w:rsid w:val="00E01622"/>
    <w:rsid w:val="00E0614B"/>
    <w:rsid w:val="00E168D5"/>
    <w:rsid w:val="00E17018"/>
    <w:rsid w:val="00E2089B"/>
    <w:rsid w:val="00E41836"/>
    <w:rsid w:val="00E42E8B"/>
    <w:rsid w:val="00E46F11"/>
    <w:rsid w:val="00E46FBC"/>
    <w:rsid w:val="00E4749C"/>
    <w:rsid w:val="00E54B7B"/>
    <w:rsid w:val="00E54D24"/>
    <w:rsid w:val="00E56462"/>
    <w:rsid w:val="00E57825"/>
    <w:rsid w:val="00E60CFE"/>
    <w:rsid w:val="00E63F54"/>
    <w:rsid w:val="00E66BF4"/>
    <w:rsid w:val="00E672CF"/>
    <w:rsid w:val="00E67F86"/>
    <w:rsid w:val="00E7042A"/>
    <w:rsid w:val="00E71E4A"/>
    <w:rsid w:val="00E75D1F"/>
    <w:rsid w:val="00E9229B"/>
    <w:rsid w:val="00EA0B1A"/>
    <w:rsid w:val="00EB20CB"/>
    <w:rsid w:val="00EB5732"/>
    <w:rsid w:val="00EC6299"/>
    <w:rsid w:val="00ED21C6"/>
    <w:rsid w:val="00EE204D"/>
    <w:rsid w:val="00EF5D2E"/>
    <w:rsid w:val="00F02CC0"/>
    <w:rsid w:val="00F0743F"/>
    <w:rsid w:val="00F110E8"/>
    <w:rsid w:val="00F13B84"/>
    <w:rsid w:val="00F14B34"/>
    <w:rsid w:val="00F21F47"/>
    <w:rsid w:val="00F23251"/>
    <w:rsid w:val="00F31A3F"/>
    <w:rsid w:val="00F37F7A"/>
    <w:rsid w:val="00F4188D"/>
    <w:rsid w:val="00F44578"/>
    <w:rsid w:val="00F44DDB"/>
    <w:rsid w:val="00F52AEF"/>
    <w:rsid w:val="00F533BA"/>
    <w:rsid w:val="00F55DC6"/>
    <w:rsid w:val="00F56675"/>
    <w:rsid w:val="00F57680"/>
    <w:rsid w:val="00F60BE6"/>
    <w:rsid w:val="00F611EB"/>
    <w:rsid w:val="00F63475"/>
    <w:rsid w:val="00F64D5F"/>
    <w:rsid w:val="00F67157"/>
    <w:rsid w:val="00F67F63"/>
    <w:rsid w:val="00F731BD"/>
    <w:rsid w:val="00F7459A"/>
    <w:rsid w:val="00F80C0C"/>
    <w:rsid w:val="00F80E11"/>
    <w:rsid w:val="00F84C78"/>
    <w:rsid w:val="00F924D6"/>
    <w:rsid w:val="00F959D0"/>
    <w:rsid w:val="00FA155F"/>
    <w:rsid w:val="00FA5190"/>
    <w:rsid w:val="00FB2765"/>
    <w:rsid w:val="00FB5B70"/>
    <w:rsid w:val="00FB7670"/>
    <w:rsid w:val="00FC1A88"/>
    <w:rsid w:val="00FC2AF0"/>
    <w:rsid w:val="00FD3264"/>
    <w:rsid w:val="00FD344C"/>
    <w:rsid w:val="00FD4825"/>
    <w:rsid w:val="00FD5D24"/>
    <w:rsid w:val="00FE2421"/>
    <w:rsid w:val="00FE5B7E"/>
    <w:rsid w:val="00FF2AD3"/>
    <w:rsid w:val="00FF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77098D"/>
  <w15:docId w15:val="{6F2F770A-F61F-4E09-8AB9-44E70E60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F0A"/>
    <w:rPr>
      <w:rFonts w:ascii="Arial" w:hAnsi="Arial"/>
      <w:sz w:val="24"/>
    </w:rPr>
  </w:style>
  <w:style w:type="paragraph" w:styleId="Heading1">
    <w:name w:val="heading 1"/>
    <w:basedOn w:val="ListParagraph"/>
    <w:next w:val="Normal"/>
    <w:qFormat/>
    <w:rsid w:val="00B26846"/>
    <w:pPr>
      <w:numPr>
        <w:numId w:val="6"/>
      </w:numPr>
      <w:spacing w:before="240" w:after="240"/>
      <w:jc w:val="both"/>
      <w:outlineLvl w:val="0"/>
    </w:pPr>
    <w:rPr>
      <w:rFonts w:ascii="Calibri" w:hAnsi="Calibri" w:cs="Calibri"/>
      <w:color w:val="702F8A"/>
      <w:sz w:val="28"/>
      <w:szCs w:val="28"/>
    </w:rPr>
  </w:style>
  <w:style w:type="paragraph" w:styleId="Heading2">
    <w:name w:val="heading 2"/>
    <w:basedOn w:val="Normal"/>
    <w:next w:val="Normal"/>
    <w:qFormat/>
    <w:rsid w:val="00146F0A"/>
    <w:pPr>
      <w:keepNext/>
      <w:jc w:val="center"/>
      <w:outlineLvl w:val="1"/>
    </w:pPr>
    <w:rPr>
      <w:b/>
    </w:rPr>
  </w:style>
  <w:style w:type="paragraph" w:styleId="Heading3">
    <w:name w:val="heading 3"/>
    <w:basedOn w:val="Normal"/>
    <w:next w:val="Normal"/>
    <w:link w:val="Heading3Char"/>
    <w:semiHidden/>
    <w:unhideWhenUsed/>
    <w:qFormat/>
    <w:rsid w:val="005C3E9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6F0A"/>
    <w:pPr>
      <w:jc w:val="both"/>
    </w:pPr>
  </w:style>
  <w:style w:type="paragraph" w:styleId="Header">
    <w:name w:val="header"/>
    <w:basedOn w:val="Normal"/>
    <w:rsid w:val="00146F0A"/>
    <w:pPr>
      <w:tabs>
        <w:tab w:val="center" w:pos="4320"/>
        <w:tab w:val="right" w:pos="8640"/>
      </w:tabs>
    </w:pPr>
  </w:style>
  <w:style w:type="paragraph" w:styleId="Footer">
    <w:name w:val="footer"/>
    <w:basedOn w:val="Normal"/>
    <w:rsid w:val="00146F0A"/>
    <w:pPr>
      <w:tabs>
        <w:tab w:val="center" w:pos="4320"/>
        <w:tab w:val="right" w:pos="8640"/>
      </w:tabs>
    </w:pPr>
  </w:style>
  <w:style w:type="character" w:styleId="PageNumber">
    <w:name w:val="page number"/>
    <w:basedOn w:val="DefaultParagraphFont"/>
    <w:rsid w:val="00146F0A"/>
  </w:style>
  <w:style w:type="character" w:styleId="CommentReference">
    <w:name w:val="annotation reference"/>
    <w:semiHidden/>
    <w:rsid w:val="004128C5"/>
    <w:rPr>
      <w:sz w:val="16"/>
      <w:szCs w:val="16"/>
    </w:rPr>
  </w:style>
  <w:style w:type="paragraph" w:styleId="CommentText">
    <w:name w:val="annotation text"/>
    <w:basedOn w:val="Normal"/>
    <w:semiHidden/>
    <w:rsid w:val="004128C5"/>
    <w:rPr>
      <w:sz w:val="20"/>
    </w:rPr>
  </w:style>
  <w:style w:type="paragraph" w:styleId="CommentSubject">
    <w:name w:val="annotation subject"/>
    <w:basedOn w:val="CommentText"/>
    <w:next w:val="CommentText"/>
    <w:semiHidden/>
    <w:rsid w:val="004128C5"/>
    <w:rPr>
      <w:b/>
      <w:bCs/>
    </w:rPr>
  </w:style>
  <w:style w:type="paragraph" w:styleId="BalloonText">
    <w:name w:val="Balloon Text"/>
    <w:basedOn w:val="Normal"/>
    <w:semiHidden/>
    <w:rsid w:val="004128C5"/>
    <w:rPr>
      <w:rFonts w:ascii="Tahoma" w:hAnsi="Tahoma" w:cs="Tahoma"/>
      <w:sz w:val="16"/>
      <w:szCs w:val="16"/>
    </w:rPr>
  </w:style>
  <w:style w:type="paragraph" w:styleId="ListParagraph">
    <w:name w:val="List Paragraph"/>
    <w:basedOn w:val="Normal"/>
    <w:link w:val="ListParagraphChar"/>
    <w:uiPriority w:val="34"/>
    <w:qFormat/>
    <w:rsid w:val="006A57BC"/>
    <w:pPr>
      <w:ind w:left="720"/>
    </w:pPr>
  </w:style>
  <w:style w:type="table" w:styleId="TableGrid">
    <w:name w:val="Table Grid"/>
    <w:basedOn w:val="TableNormal"/>
    <w:rsid w:val="00D7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4B2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7773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67F86"/>
    <w:rPr>
      <w:rFonts w:ascii="Arial" w:hAnsi="Arial"/>
      <w:sz w:val="24"/>
    </w:rPr>
  </w:style>
  <w:style w:type="paragraph" w:customStyle="1" w:styleId="legp1paratext">
    <w:name w:val="legp1paratext"/>
    <w:basedOn w:val="Normal"/>
    <w:rsid w:val="00CA59D0"/>
    <w:pPr>
      <w:spacing w:before="100" w:beforeAutospacing="1" w:after="100" w:afterAutospacing="1"/>
    </w:pPr>
    <w:rPr>
      <w:rFonts w:ascii="Times New Roman" w:hAnsi="Times New Roman"/>
      <w:szCs w:val="24"/>
    </w:rPr>
  </w:style>
  <w:style w:type="paragraph" w:customStyle="1" w:styleId="legclearfix">
    <w:name w:val="legclearfix"/>
    <w:basedOn w:val="Normal"/>
    <w:rsid w:val="00CA59D0"/>
    <w:pPr>
      <w:spacing w:before="100" w:beforeAutospacing="1" w:after="100" w:afterAutospacing="1"/>
    </w:pPr>
    <w:rPr>
      <w:rFonts w:ascii="Times New Roman" w:hAnsi="Times New Roman"/>
      <w:szCs w:val="24"/>
    </w:rPr>
  </w:style>
  <w:style w:type="character" w:customStyle="1" w:styleId="legds">
    <w:name w:val="legds"/>
    <w:basedOn w:val="DefaultParagraphFont"/>
    <w:rsid w:val="00CA59D0"/>
  </w:style>
  <w:style w:type="character" w:customStyle="1" w:styleId="Heading3Char">
    <w:name w:val="Heading 3 Char"/>
    <w:basedOn w:val="DefaultParagraphFont"/>
    <w:link w:val="Heading3"/>
    <w:semiHidden/>
    <w:rsid w:val="005C3E9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4E480B"/>
    <w:pPr>
      <w:keepNext/>
      <w:keepLines/>
      <w:numPr>
        <w:numId w:val="0"/>
      </w:numPr>
      <w:spacing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132DE7"/>
    <w:pPr>
      <w:tabs>
        <w:tab w:val="left" w:pos="440"/>
        <w:tab w:val="right" w:leader="dot" w:pos="9016"/>
      </w:tabs>
      <w:spacing w:after="100"/>
    </w:pPr>
    <w:rPr>
      <w:rFonts w:asciiTheme="minorHAnsi" w:hAnsiTheme="minorHAnsi"/>
      <w:color w:val="0072CE"/>
    </w:rPr>
  </w:style>
  <w:style w:type="character" w:styleId="Hyperlink">
    <w:name w:val="Hyperlink"/>
    <w:basedOn w:val="DefaultParagraphFont"/>
    <w:uiPriority w:val="99"/>
    <w:unhideWhenUsed/>
    <w:rsid w:val="004E480B"/>
    <w:rPr>
      <w:color w:val="0000FF" w:themeColor="hyperlink"/>
      <w:u w:val="single"/>
    </w:rPr>
  </w:style>
  <w:style w:type="paragraph" w:customStyle="1" w:styleId="Style1">
    <w:name w:val="Style1"/>
    <w:basedOn w:val="ListParagraph"/>
    <w:link w:val="Style1Char"/>
    <w:qFormat/>
    <w:rsid w:val="00C55EFA"/>
    <w:pPr>
      <w:numPr>
        <w:ilvl w:val="1"/>
        <w:numId w:val="6"/>
      </w:numPr>
      <w:spacing w:after="120" w:line="276" w:lineRule="auto"/>
      <w:jc w:val="both"/>
    </w:pPr>
    <w:rPr>
      <w:rFonts w:ascii="Calibri" w:hAnsi="Calibri" w:cs="Calibri"/>
      <w:color w:val="0072CE"/>
      <w:szCs w:val="24"/>
    </w:rPr>
  </w:style>
  <w:style w:type="character" w:customStyle="1" w:styleId="ListParagraphChar">
    <w:name w:val="List Paragraph Char"/>
    <w:basedOn w:val="DefaultParagraphFont"/>
    <w:link w:val="ListParagraph"/>
    <w:uiPriority w:val="34"/>
    <w:rsid w:val="00C55EFA"/>
    <w:rPr>
      <w:rFonts w:ascii="Arial" w:hAnsi="Arial"/>
      <w:sz w:val="24"/>
    </w:rPr>
  </w:style>
  <w:style w:type="character" w:customStyle="1" w:styleId="Style1Char">
    <w:name w:val="Style1 Char"/>
    <w:basedOn w:val="ListParagraphChar"/>
    <w:link w:val="Style1"/>
    <w:rsid w:val="00C55EFA"/>
    <w:rPr>
      <w:rFonts w:ascii="Calibri" w:hAnsi="Calibri" w:cs="Calibri"/>
      <w:color w:val="0072CE"/>
      <w:sz w:val="24"/>
      <w:szCs w:val="24"/>
    </w:rPr>
  </w:style>
  <w:style w:type="paragraph" w:customStyle="1" w:styleId="HeadedList">
    <w:name w:val="Headed List"/>
    <w:basedOn w:val="ListParagraph"/>
    <w:next w:val="ListParagraph1"/>
    <w:autoRedefine/>
    <w:qFormat/>
    <w:rsid w:val="00754D0B"/>
    <w:pPr>
      <w:numPr>
        <w:numId w:val="8"/>
      </w:numPr>
      <w:spacing w:before="120" w:after="120"/>
      <w:contextualSpacing/>
    </w:pPr>
    <w:rPr>
      <w:rFonts w:ascii="Calibri" w:hAnsi="Calibri" w:cs="Arial"/>
      <w:b/>
      <w:color w:val="20CBD4"/>
      <w:sz w:val="28"/>
      <w:szCs w:val="28"/>
      <w:lang w:eastAsia="en-US"/>
    </w:rPr>
  </w:style>
  <w:style w:type="paragraph" w:customStyle="1" w:styleId="ListParagraph1">
    <w:name w:val="List Paragraph 1"/>
    <w:basedOn w:val="ListParagraph"/>
    <w:qFormat/>
    <w:rsid w:val="00754D0B"/>
    <w:pPr>
      <w:numPr>
        <w:ilvl w:val="1"/>
        <w:numId w:val="8"/>
      </w:numPr>
      <w:spacing w:after="100" w:afterAutospacing="1" w:line="360" w:lineRule="auto"/>
      <w:contextualSpacing/>
    </w:pPr>
    <w:rPr>
      <w:rFonts w:ascii="Calibri" w:hAnsi="Calibri" w:cs="Arial"/>
      <w:color w:val="4A4C4D"/>
      <w:sz w:val="22"/>
      <w:szCs w:val="22"/>
      <w:lang w:eastAsia="en-US"/>
    </w:rPr>
  </w:style>
  <w:style w:type="paragraph" w:styleId="Revision">
    <w:name w:val="Revision"/>
    <w:hidden/>
    <w:uiPriority w:val="99"/>
    <w:semiHidden/>
    <w:rsid w:val="0047588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40264">
      <w:bodyDiv w:val="1"/>
      <w:marLeft w:val="0"/>
      <w:marRight w:val="0"/>
      <w:marTop w:val="0"/>
      <w:marBottom w:val="0"/>
      <w:divBdr>
        <w:top w:val="none" w:sz="0" w:space="0" w:color="auto"/>
        <w:left w:val="none" w:sz="0" w:space="0" w:color="auto"/>
        <w:bottom w:val="none" w:sz="0" w:space="0" w:color="auto"/>
        <w:right w:val="none" w:sz="0" w:space="0" w:color="auto"/>
      </w:divBdr>
      <w:divsChild>
        <w:div w:id="394280998">
          <w:marLeft w:val="274"/>
          <w:marRight w:val="0"/>
          <w:marTop w:val="0"/>
          <w:marBottom w:val="0"/>
          <w:divBdr>
            <w:top w:val="none" w:sz="0" w:space="0" w:color="auto"/>
            <w:left w:val="none" w:sz="0" w:space="0" w:color="auto"/>
            <w:bottom w:val="none" w:sz="0" w:space="0" w:color="auto"/>
            <w:right w:val="none" w:sz="0" w:space="0" w:color="auto"/>
          </w:divBdr>
        </w:div>
        <w:div w:id="138769866">
          <w:marLeft w:val="274"/>
          <w:marRight w:val="0"/>
          <w:marTop w:val="0"/>
          <w:marBottom w:val="0"/>
          <w:divBdr>
            <w:top w:val="none" w:sz="0" w:space="0" w:color="auto"/>
            <w:left w:val="none" w:sz="0" w:space="0" w:color="auto"/>
            <w:bottom w:val="none" w:sz="0" w:space="0" w:color="auto"/>
            <w:right w:val="none" w:sz="0" w:space="0" w:color="auto"/>
          </w:divBdr>
        </w:div>
        <w:div w:id="732318783">
          <w:marLeft w:val="274"/>
          <w:marRight w:val="0"/>
          <w:marTop w:val="0"/>
          <w:marBottom w:val="0"/>
          <w:divBdr>
            <w:top w:val="none" w:sz="0" w:space="0" w:color="auto"/>
            <w:left w:val="none" w:sz="0" w:space="0" w:color="auto"/>
            <w:bottom w:val="none" w:sz="0" w:space="0" w:color="auto"/>
            <w:right w:val="none" w:sz="0" w:space="0" w:color="auto"/>
          </w:divBdr>
        </w:div>
        <w:div w:id="2063865669">
          <w:marLeft w:val="274"/>
          <w:marRight w:val="0"/>
          <w:marTop w:val="0"/>
          <w:marBottom w:val="0"/>
          <w:divBdr>
            <w:top w:val="none" w:sz="0" w:space="0" w:color="auto"/>
            <w:left w:val="none" w:sz="0" w:space="0" w:color="auto"/>
            <w:bottom w:val="none" w:sz="0" w:space="0" w:color="auto"/>
            <w:right w:val="none" w:sz="0" w:space="0" w:color="auto"/>
          </w:divBdr>
        </w:div>
        <w:div w:id="872426680">
          <w:marLeft w:val="274"/>
          <w:marRight w:val="0"/>
          <w:marTop w:val="0"/>
          <w:marBottom w:val="0"/>
          <w:divBdr>
            <w:top w:val="none" w:sz="0" w:space="0" w:color="auto"/>
            <w:left w:val="none" w:sz="0" w:space="0" w:color="auto"/>
            <w:bottom w:val="none" w:sz="0" w:space="0" w:color="auto"/>
            <w:right w:val="none" w:sz="0" w:space="0" w:color="auto"/>
          </w:divBdr>
        </w:div>
      </w:divsChild>
    </w:div>
    <w:div w:id="1220821119">
      <w:bodyDiv w:val="1"/>
      <w:marLeft w:val="0"/>
      <w:marRight w:val="0"/>
      <w:marTop w:val="0"/>
      <w:marBottom w:val="0"/>
      <w:divBdr>
        <w:top w:val="none" w:sz="0" w:space="0" w:color="auto"/>
        <w:left w:val="none" w:sz="0" w:space="0" w:color="auto"/>
        <w:bottom w:val="none" w:sz="0" w:space="0" w:color="auto"/>
        <w:right w:val="none" w:sz="0" w:space="0" w:color="auto"/>
      </w:divBdr>
    </w:div>
    <w:div w:id="1652249855">
      <w:bodyDiv w:val="1"/>
      <w:marLeft w:val="0"/>
      <w:marRight w:val="0"/>
      <w:marTop w:val="0"/>
      <w:marBottom w:val="0"/>
      <w:divBdr>
        <w:top w:val="none" w:sz="0" w:space="0" w:color="auto"/>
        <w:left w:val="none" w:sz="0" w:space="0" w:color="auto"/>
        <w:bottom w:val="none" w:sz="0" w:space="0" w:color="auto"/>
        <w:right w:val="none" w:sz="0" w:space="0" w:color="auto"/>
      </w:divBdr>
    </w:div>
    <w:div w:id="200697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C50F-F15C-4050-84EE-CBA166DE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6301</Words>
  <Characters>34597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Arches Housing Ltd</vt:lpstr>
    </vt:vector>
  </TitlesOfParts>
  <Company>Arches Housing Ltd</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Arches Housing Ltd</dc:title>
  <dc:creator>el</dc:creator>
  <cp:lastModifiedBy>Nicola Maguire</cp:lastModifiedBy>
  <cp:revision>2</cp:revision>
  <cp:lastPrinted>2017-04-04T14:47:00Z</cp:lastPrinted>
  <dcterms:created xsi:type="dcterms:W3CDTF">2024-09-17T13:44:00Z</dcterms:created>
  <dcterms:modified xsi:type="dcterms:W3CDTF">2024-09-17T13:44:00Z</dcterms:modified>
</cp:coreProperties>
</file>