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Theme="majorHAnsi" w:eastAsiaTheme="majorEastAsia" w:hAnsiTheme="majorHAnsi" w:cstheme="majorBidi"/>
          <w:bCs/>
          <w:sz w:val="28"/>
          <w:szCs w:val="28"/>
        </w:rPr>
        <w:id w:val="312841482"/>
        <w:docPartObj>
          <w:docPartGallery w:val="Cover Pages"/>
          <w:docPartUnique/>
        </w:docPartObj>
      </w:sdtPr>
      <w:sdtEndPr>
        <w:rPr>
          <w:rFonts w:ascii="Arial" w:eastAsiaTheme="minorEastAsia" w:hAnsi="Arial" w:cstheme="minorBidi"/>
          <w:bCs w:val="0"/>
          <w:sz w:val="22"/>
          <w:szCs w:val="22"/>
        </w:rPr>
      </w:sdtEndPr>
      <w:sdtContent>
        <w:p w14:paraId="654740DB" w14:textId="77777777" w:rsidR="00FB79BF" w:rsidRDefault="00FB79BF" w:rsidP="004A7B26">
          <w:r w:rsidRPr="000F7571">
            <w:rPr>
              <w:noProof/>
              <w:lang w:eastAsia="en-GB"/>
            </w:rPr>
            <w:drawing>
              <wp:anchor distT="0" distB="0" distL="114300" distR="114300" simplePos="0" relativeHeight="251658240" behindDoc="1" locked="0" layoutInCell="1" allowOverlap="1" wp14:anchorId="3A107E6D" wp14:editId="25CEFF08">
                <wp:simplePos x="0" y="0"/>
                <wp:positionH relativeFrom="margin">
                  <wp:align>right</wp:align>
                </wp:positionH>
                <wp:positionV relativeFrom="paragraph">
                  <wp:posOffset>15</wp:posOffset>
                </wp:positionV>
                <wp:extent cx="3536950" cy="690880"/>
                <wp:effectExtent l="0" t="0" r="6350" b="0"/>
                <wp:wrapTight wrapText="bothSides">
                  <wp:wrapPolygon edited="0">
                    <wp:start x="0" y="0"/>
                    <wp:lineTo x="0" y="20846"/>
                    <wp:lineTo x="21522" y="20846"/>
                    <wp:lineTo x="21522" y="0"/>
                    <wp:lineTo x="0" y="0"/>
                  </wp:wrapPolygon>
                </wp:wrapTight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RCHES-FINAL-SCREEN.jpg"/>
                        <pic:cNvPicPr/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36950" cy="6908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8FFA61" w14:textId="77777777" w:rsidR="00FB79BF" w:rsidRPr="00BE72D5" w:rsidRDefault="00FB79BF" w:rsidP="00BE72D5"/>
        <w:p w14:paraId="23855FDD" w14:textId="77777777" w:rsidR="00FB79BF" w:rsidRPr="00BE72D5" w:rsidRDefault="00FB79BF" w:rsidP="00BE72D5"/>
        <w:p w14:paraId="4EBB683E" w14:textId="77777777" w:rsidR="00FB79BF" w:rsidRPr="00BE72D5" w:rsidRDefault="00FB79BF" w:rsidP="00BE72D5"/>
        <w:p w14:paraId="069AECE4" w14:textId="77777777" w:rsidR="00FB79BF" w:rsidRPr="00BE72D5" w:rsidRDefault="00FB79BF" w:rsidP="00BE72D5"/>
        <w:p w14:paraId="007E9C8E" w14:textId="77777777" w:rsidR="00FB79BF" w:rsidRPr="00BE72D5" w:rsidRDefault="00FB79BF" w:rsidP="00BE72D5"/>
        <w:p w14:paraId="1448B022" w14:textId="77777777" w:rsidR="00FB79BF" w:rsidRPr="00BE72D5" w:rsidRDefault="00FB79BF" w:rsidP="00BE72D5"/>
        <w:p w14:paraId="4399B2D6" w14:textId="77777777" w:rsidR="00FB79BF" w:rsidRPr="00BE72D5" w:rsidRDefault="00FB79BF" w:rsidP="00BE72D5"/>
        <w:p w14:paraId="7A6EA0B4" w14:textId="77777777" w:rsidR="00FB79BF" w:rsidRPr="00BE72D5" w:rsidRDefault="00FB79BF" w:rsidP="00BE72D5"/>
        <w:p w14:paraId="01182390" w14:textId="77777777" w:rsidR="00FB79BF" w:rsidRDefault="00FB79BF" w:rsidP="00BE72D5"/>
        <w:p w14:paraId="1618FCB1" w14:textId="77777777" w:rsidR="00FB79BF" w:rsidRPr="00BE72D5" w:rsidRDefault="00123835" w:rsidP="00BE72D5">
          <w:pPr>
            <w:pStyle w:val="Title"/>
            <w:jc w:val="center"/>
            <w:rPr>
              <w:sz w:val="144"/>
            </w:rPr>
          </w:pPr>
          <w:sdt>
            <w:sdtPr>
              <w:rPr>
                <w:sz w:val="72"/>
              </w:rPr>
              <w:alias w:val="Title"/>
              <w:tag w:val=""/>
              <w:id w:val="337043358"/>
              <w:placeholder>
                <w:docPart w:val="88598593671A4FEC9C34219C1711788F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BC200D">
                <w:rPr>
                  <w:sz w:val="72"/>
                </w:rPr>
                <w:t>Rent and Service Charge Policy</w:t>
              </w:r>
            </w:sdtContent>
          </w:sdt>
        </w:p>
        <w:p w14:paraId="57A2E0AD" w14:textId="77777777" w:rsidR="00FB79BF" w:rsidRDefault="00FB79BF" w:rsidP="00BE72D5">
          <w:pPr>
            <w:tabs>
              <w:tab w:val="left" w:pos="4019"/>
            </w:tabs>
            <w:jc w:val="center"/>
          </w:pPr>
        </w:p>
        <w:p w14:paraId="1E92320A" w14:textId="77777777" w:rsidR="00FB79BF" w:rsidRPr="00FB79BF" w:rsidRDefault="00FB79BF" w:rsidP="00FB79BF"/>
        <w:p w14:paraId="69967C0D" w14:textId="77777777" w:rsidR="00FB79BF" w:rsidRPr="00FB79BF" w:rsidRDefault="00FB79BF" w:rsidP="00FB79BF"/>
        <w:p w14:paraId="4D21F76F" w14:textId="77777777" w:rsidR="00FB79BF" w:rsidRPr="00FB79BF" w:rsidRDefault="00FB79BF" w:rsidP="00FB79BF"/>
        <w:p w14:paraId="2B1E28B4" w14:textId="77777777" w:rsidR="00FB79BF" w:rsidRPr="00FB79BF" w:rsidRDefault="00FB79BF" w:rsidP="00FB79BF"/>
        <w:p w14:paraId="3F0C50E4" w14:textId="77777777" w:rsidR="00FB79BF" w:rsidRPr="00FB79BF" w:rsidRDefault="00FB79BF" w:rsidP="00FB79BF"/>
        <w:p w14:paraId="568809F4" w14:textId="77777777" w:rsidR="00FB79BF" w:rsidRPr="00FB79BF" w:rsidRDefault="00FB79BF" w:rsidP="00FB79BF"/>
        <w:p w14:paraId="3BF2A849" w14:textId="77777777" w:rsidR="00FB79BF" w:rsidRDefault="00FB79BF" w:rsidP="00FB79BF"/>
        <w:p w14:paraId="672EDFC5" w14:textId="77777777" w:rsidR="00FB79BF" w:rsidRPr="00FB79BF" w:rsidRDefault="00FB79BF" w:rsidP="00FB79BF">
          <w:pPr>
            <w:tabs>
              <w:tab w:val="left" w:pos="2450"/>
            </w:tabs>
          </w:pPr>
          <w:r>
            <w:tab/>
          </w:r>
        </w:p>
        <w:tbl>
          <w:tblPr>
            <w:tblStyle w:val="TableGrid"/>
            <w:tblW w:w="10632" w:type="dxa"/>
            <w:tblInd w:w="-5" w:type="dxa"/>
            <w:tblLook w:val="04A0" w:firstRow="1" w:lastRow="0" w:firstColumn="1" w:lastColumn="0" w:noHBand="0" w:noVBand="1"/>
          </w:tblPr>
          <w:tblGrid>
            <w:gridCol w:w="2093"/>
            <w:gridCol w:w="3577"/>
            <w:gridCol w:w="2127"/>
            <w:gridCol w:w="2835"/>
          </w:tblGrid>
          <w:tr w:rsidR="00FB79BF" w:rsidRPr="00CF72B1" w14:paraId="3C390C94" w14:textId="77777777" w:rsidTr="00CF72B1">
            <w:tc>
              <w:tcPr>
                <w:tcW w:w="2093" w:type="dxa"/>
                <w:shd w:val="clear" w:color="auto" w:fill="0073CF" w:themeFill="text1"/>
              </w:tcPr>
              <w:p w14:paraId="0C4B6DF3" w14:textId="77777777" w:rsidR="00FB79BF" w:rsidRPr="00CF72B1" w:rsidRDefault="00FB79BF" w:rsidP="00961DE0">
                <w:pPr>
                  <w:rPr>
                    <w:rFonts w:ascii="Century Gothic" w:hAnsi="Century Gothic" w:cs="Arial"/>
                    <w:color w:val="auto"/>
                    <w:sz w:val="30"/>
                    <w:szCs w:val="30"/>
                  </w:rPr>
                </w:pPr>
                <w:r w:rsidRPr="00CF72B1">
                  <w:rPr>
                    <w:rFonts w:ascii="Century Gothic" w:hAnsi="Century Gothic" w:cs="Arial"/>
                    <w:color w:val="FFFFFF" w:themeColor="background1"/>
                    <w:sz w:val="30"/>
                    <w:szCs w:val="30"/>
                  </w:rPr>
                  <w:t>Reference</w:t>
                </w:r>
              </w:p>
            </w:tc>
            <w:tc>
              <w:tcPr>
                <w:tcW w:w="3577" w:type="dxa"/>
              </w:tcPr>
              <w:p w14:paraId="44C5AD89" w14:textId="77777777" w:rsidR="00FB79BF" w:rsidRPr="00CF72B1" w:rsidRDefault="00BC200D" w:rsidP="00961DE0">
                <w:pPr>
                  <w:rPr>
                    <w:rFonts w:cs="Arial"/>
                    <w:sz w:val="30"/>
                    <w:szCs w:val="30"/>
                  </w:rPr>
                </w:pPr>
                <w:r>
                  <w:rPr>
                    <w:rFonts w:cs="Arial"/>
                    <w:sz w:val="30"/>
                    <w:szCs w:val="30"/>
                  </w:rPr>
                  <w:t>RENT001</w:t>
                </w:r>
              </w:p>
            </w:tc>
            <w:tc>
              <w:tcPr>
                <w:tcW w:w="2127" w:type="dxa"/>
                <w:shd w:val="clear" w:color="auto" w:fill="0073CF" w:themeFill="text1"/>
              </w:tcPr>
              <w:p w14:paraId="6E9F4BB1" w14:textId="77777777" w:rsidR="00FB79BF" w:rsidRPr="00CF72B1" w:rsidRDefault="00FB79BF" w:rsidP="00961DE0">
                <w:pPr>
                  <w:rPr>
                    <w:rFonts w:ascii="Century Gothic" w:hAnsi="Century Gothic" w:cs="Arial"/>
                    <w:color w:val="FFFFFF" w:themeColor="background1"/>
                    <w:sz w:val="30"/>
                    <w:szCs w:val="30"/>
                  </w:rPr>
                </w:pPr>
                <w:r w:rsidRPr="00CF72B1">
                  <w:rPr>
                    <w:rFonts w:ascii="Century Gothic" w:hAnsi="Century Gothic" w:cs="Arial"/>
                    <w:color w:val="FFFFFF" w:themeColor="background1"/>
                    <w:sz w:val="30"/>
                    <w:szCs w:val="30"/>
                  </w:rPr>
                  <w:t>Version</w:t>
                </w:r>
              </w:p>
            </w:tc>
            <w:tc>
              <w:tcPr>
                <w:tcW w:w="2835" w:type="dxa"/>
              </w:tcPr>
              <w:p w14:paraId="7027A6DB" w14:textId="4C5764C7" w:rsidR="00FB79BF" w:rsidRPr="00CF72B1" w:rsidRDefault="00863507" w:rsidP="00961DE0">
                <w:pPr>
                  <w:rPr>
                    <w:rFonts w:cs="Arial"/>
                    <w:sz w:val="30"/>
                    <w:szCs w:val="30"/>
                  </w:rPr>
                </w:pPr>
                <w:r>
                  <w:rPr>
                    <w:rFonts w:cs="Arial"/>
                    <w:sz w:val="30"/>
                    <w:szCs w:val="30"/>
                  </w:rPr>
                  <w:t>3</w:t>
                </w:r>
                <w:r w:rsidR="007F2520">
                  <w:rPr>
                    <w:rFonts w:cs="Arial"/>
                    <w:sz w:val="30"/>
                    <w:szCs w:val="30"/>
                  </w:rPr>
                  <w:t>.</w:t>
                </w:r>
                <w:r>
                  <w:rPr>
                    <w:rFonts w:cs="Arial"/>
                    <w:sz w:val="30"/>
                    <w:szCs w:val="30"/>
                  </w:rPr>
                  <w:t>0</w:t>
                </w:r>
              </w:p>
            </w:tc>
          </w:tr>
          <w:tr w:rsidR="00FB79BF" w:rsidRPr="00CF72B1" w14:paraId="280653A3" w14:textId="77777777" w:rsidTr="00CF72B1">
            <w:tc>
              <w:tcPr>
                <w:tcW w:w="2093" w:type="dxa"/>
                <w:shd w:val="clear" w:color="auto" w:fill="0073CF" w:themeFill="text1"/>
              </w:tcPr>
              <w:p w14:paraId="73A46EB1" w14:textId="77777777" w:rsidR="00FB79BF" w:rsidRPr="00CF72B1" w:rsidRDefault="00FB79BF" w:rsidP="00961DE0">
                <w:pPr>
                  <w:rPr>
                    <w:rFonts w:ascii="Century Gothic" w:hAnsi="Century Gothic" w:cs="Arial"/>
                    <w:color w:val="FFFFFF" w:themeColor="background1"/>
                    <w:sz w:val="30"/>
                    <w:szCs w:val="30"/>
                  </w:rPr>
                </w:pPr>
                <w:r w:rsidRPr="00CF72B1">
                  <w:rPr>
                    <w:rFonts w:ascii="Century Gothic" w:hAnsi="Century Gothic" w:cs="Arial"/>
                    <w:color w:val="FFFFFF" w:themeColor="background1"/>
                    <w:sz w:val="30"/>
                    <w:szCs w:val="30"/>
                  </w:rPr>
                  <w:t>Staff affected</w:t>
                </w:r>
              </w:p>
            </w:tc>
            <w:tc>
              <w:tcPr>
                <w:tcW w:w="3577" w:type="dxa"/>
              </w:tcPr>
              <w:p w14:paraId="06376FD8" w14:textId="77777777" w:rsidR="00FB79BF" w:rsidRPr="00CF72B1" w:rsidRDefault="00BC200D" w:rsidP="00961DE0">
                <w:pPr>
                  <w:rPr>
                    <w:rFonts w:cs="Arial"/>
                    <w:sz w:val="30"/>
                    <w:szCs w:val="30"/>
                  </w:rPr>
                </w:pPr>
                <w:r>
                  <w:rPr>
                    <w:rFonts w:cs="Arial"/>
                    <w:sz w:val="30"/>
                    <w:szCs w:val="30"/>
                  </w:rPr>
                  <w:t>All Staff</w:t>
                </w:r>
              </w:p>
            </w:tc>
            <w:tc>
              <w:tcPr>
                <w:tcW w:w="2127" w:type="dxa"/>
                <w:shd w:val="clear" w:color="auto" w:fill="0073CF" w:themeFill="text1"/>
              </w:tcPr>
              <w:p w14:paraId="17CA688B" w14:textId="77777777" w:rsidR="00FB79BF" w:rsidRPr="00CF72B1" w:rsidRDefault="00FB79BF" w:rsidP="00961DE0">
                <w:pPr>
                  <w:rPr>
                    <w:rFonts w:ascii="Century Gothic" w:hAnsi="Century Gothic" w:cs="Arial"/>
                    <w:color w:val="FFFFFF" w:themeColor="background1"/>
                    <w:sz w:val="30"/>
                    <w:szCs w:val="30"/>
                  </w:rPr>
                </w:pPr>
                <w:r w:rsidRPr="00CF72B1">
                  <w:rPr>
                    <w:rFonts w:ascii="Century Gothic" w:hAnsi="Century Gothic" w:cs="Arial"/>
                    <w:color w:val="FFFFFF" w:themeColor="background1"/>
                    <w:sz w:val="30"/>
                    <w:szCs w:val="30"/>
                  </w:rPr>
                  <w:t>Issue date</w:t>
                </w:r>
              </w:p>
            </w:tc>
            <w:tc>
              <w:tcPr>
                <w:tcW w:w="2835" w:type="dxa"/>
              </w:tcPr>
              <w:p w14:paraId="4B196361" w14:textId="5FBA1376" w:rsidR="00FB79BF" w:rsidRPr="00CF72B1" w:rsidRDefault="00420EA5" w:rsidP="00415544">
                <w:pPr>
                  <w:rPr>
                    <w:rFonts w:cs="Arial"/>
                    <w:sz w:val="30"/>
                    <w:szCs w:val="30"/>
                  </w:rPr>
                </w:pPr>
                <w:r>
                  <w:rPr>
                    <w:rFonts w:cs="Arial"/>
                    <w:sz w:val="30"/>
                    <w:szCs w:val="30"/>
                  </w:rPr>
                  <w:t>January 20</w:t>
                </w:r>
                <w:r w:rsidR="00415544">
                  <w:rPr>
                    <w:rFonts w:cs="Arial"/>
                    <w:sz w:val="30"/>
                    <w:szCs w:val="30"/>
                  </w:rPr>
                  <w:t>2</w:t>
                </w:r>
                <w:r w:rsidR="00863507">
                  <w:rPr>
                    <w:rFonts w:cs="Arial"/>
                    <w:sz w:val="30"/>
                    <w:szCs w:val="30"/>
                  </w:rPr>
                  <w:t>5</w:t>
                </w:r>
              </w:p>
            </w:tc>
          </w:tr>
          <w:tr w:rsidR="00FB79BF" w:rsidRPr="00CF72B1" w14:paraId="10A19B12" w14:textId="77777777" w:rsidTr="00CF72B1">
            <w:tc>
              <w:tcPr>
                <w:tcW w:w="2093" w:type="dxa"/>
                <w:shd w:val="clear" w:color="auto" w:fill="0073CF" w:themeFill="text1"/>
              </w:tcPr>
              <w:p w14:paraId="15C34E10" w14:textId="77777777" w:rsidR="00FB79BF" w:rsidRPr="00CF72B1" w:rsidRDefault="00FB79BF" w:rsidP="00961DE0">
                <w:pPr>
                  <w:rPr>
                    <w:rFonts w:ascii="Century Gothic" w:hAnsi="Century Gothic" w:cs="Arial"/>
                    <w:color w:val="FFFFFF" w:themeColor="background1"/>
                    <w:sz w:val="30"/>
                    <w:szCs w:val="30"/>
                  </w:rPr>
                </w:pPr>
                <w:r w:rsidRPr="00CF72B1">
                  <w:rPr>
                    <w:rFonts w:ascii="Century Gothic" w:hAnsi="Century Gothic" w:cs="Arial"/>
                    <w:color w:val="FFFFFF" w:themeColor="background1"/>
                    <w:sz w:val="30"/>
                    <w:szCs w:val="30"/>
                  </w:rPr>
                  <w:t>Approved by</w:t>
                </w:r>
              </w:p>
            </w:tc>
            <w:tc>
              <w:tcPr>
                <w:tcW w:w="3577" w:type="dxa"/>
              </w:tcPr>
              <w:p w14:paraId="009677FC" w14:textId="77777777" w:rsidR="00FB79BF" w:rsidRPr="00CF72B1" w:rsidRDefault="007F2520" w:rsidP="00961DE0">
                <w:pPr>
                  <w:rPr>
                    <w:rFonts w:cs="Arial"/>
                    <w:sz w:val="30"/>
                    <w:szCs w:val="30"/>
                  </w:rPr>
                </w:pPr>
                <w:r>
                  <w:rPr>
                    <w:rFonts w:cs="Arial"/>
                    <w:sz w:val="30"/>
                    <w:szCs w:val="30"/>
                  </w:rPr>
                  <w:t>Board</w:t>
                </w:r>
              </w:p>
            </w:tc>
            <w:tc>
              <w:tcPr>
                <w:tcW w:w="2127" w:type="dxa"/>
                <w:shd w:val="clear" w:color="auto" w:fill="0073CF" w:themeFill="text1"/>
              </w:tcPr>
              <w:p w14:paraId="2785AC8E" w14:textId="77777777" w:rsidR="00FB79BF" w:rsidRPr="00CF72B1" w:rsidRDefault="00FB79BF" w:rsidP="00961DE0">
                <w:pPr>
                  <w:rPr>
                    <w:rFonts w:ascii="Century Gothic" w:hAnsi="Century Gothic" w:cs="Arial"/>
                    <w:color w:val="FFFFFF" w:themeColor="background1"/>
                    <w:sz w:val="30"/>
                    <w:szCs w:val="30"/>
                  </w:rPr>
                </w:pPr>
                <w:r w:rsidRPr="00CF72B1">
                  <w:rPr>
                    <w:rFonts w:ascii="Century Gothic" w:hAnsi="Century Gothic" w:cs="Arial"/>
                    <w:color w:val="FFFFFF" w:themeColor="background1"/>
                    <w:sz w:val="30"/>
                    <w:szCs w:val="30"/>
                  </w:rPr>
                  <w:t>Target Review Date</w:t>
                </w:r>
              </w:p>
            </w:tc>
            <w:tc>
              <w:tcPr>
                <w:tcW w:w="2835" w:type="dxa"/>
              </w:tcPr>
              <w:p w14:paraId="4E398B4B" w14:textId="400203C6" w:rsidR="00FB79BF" w:rsidRPr="00CF72B1" w:rsidRDefault="003C45B8" w:rsidP="00415544">
                <w:pPr>
                  <w:rPr>
                    <w:rFonts w:cs="Arial"/>
                    <w:sz w:val="30"/>
                    <w:szCs w:val="30"/>
                  </w:rPr>
                </w:pPr>
                <w:r>
                  <w:rPr>
                    <w:rFonts w:cs="Arial"/>
                    <w:sz w:val="30"/>
                    <w:szCs w:val="30"/>
                  </w:rPr>
                  <w:t xml:space="preserve"> </w:t>
                </w:r>
                <w:r w:rsidR="00415544" w:rsidRPr="00A2495D">
                  <w:rPr>
                    <w:rFonts w:cs="Arial"/>
                    <w:sz w:val="30"/>
                    <w:szCs w:val="30"/>
                  </w:rPr>
                  <w:t>January 20</w:t>
                </w:r>
                <w:r w:rsidR="00863507">
                  <w:rPr>
                    <w:rFonts w:cs="Arial"/>
                    <w:sz w:val="30"/>
                    <w:szCs w:val="30"/>
                  </w:rPr>
                  <w:t>30</w:t>
                </w:r>
              </w:p>
            </w:tc>
          </w:tr>
          <w:tr w:rsidR="00FB79BF" w:rsidRPr="00CF72B1" w14:paraId="516004F7" w14:textId="77777777" w:rsidTr="00CF72B1">
            <w:tc>
              <w:tcPr>
                <w:tcW w:w="2093" w:type="dxa"/>
                <w:shd w:val="clear" w:color="auto" w:fill="0073CF" w:themeFill="text1"/>
              </w:tcPr>
              <w:p w14:paraId="22C6C307" w14:textId="77777777" w:rsidR="00FB79BF" w:rsidRPr="00CF72B1" w:rsidRDefault="00FB79BF" w:rsidP="00961DE0">
                <w:pPr>
                  <w:rPr>
                    <w:rFonts w:ascii="Century Gothic" w:hAnsi="Century Gothic" w:cs="Arial"/>
                    <w:color w:val="FFFFFF" w:themeColor="background1"/>
                    <w:sz w:val="30"/>
                    <w:szCs w:val="30"/>
                  </w:rPr>
                </w:pPr>
                <w:r w:rsidRPr="00CF72B1">
                  <w:rPr>
                    <w:rFonts w:ascii="Century Gothic" w:hAnsi="Century Gothic" w:cs="Arial"/>
                    <w:color w:val="FFFFFF" w:themeColor="background1"/>
                    <w:sz w:val="30"/>
                    <w:szCs w:val="30"/>
                  </w:rPr>
                  <w:t>Lead Officer</w:t>
                </w:r>
              </w:p>
            </w:tc>
            <w:tc>
              <w:tcPr>
                <w:tcW w:w="3577" w:type="dxa"/>
              </w:tcPr>
              <w:p w14:paraId="3E34B3F1" w14:textId="77777777" w:rsidR="00FB79BF" w:rsidRPr="00CF72B1" w:rsidRDefault="00415544" w:rsidP="00961DE0">
                <w:pPr>
                  <w:rPr>
                    <w:rFonts w:cs="Arial"/>
                    <w:sz w:val="30"/>
                    <w:szCs w:val="30"/>
                  </w:rPr>
                </w:pPr>
                <w:r>
                  <w:rPr>
                    <w:rFonts w:cs="Arial"/>
                    <w:sz w:val="30"/>
                    <w:szCs w:val="30"/>
                  </w:rPr>
                  <w:t>Head of Finance and Corporate Services</w:t>
                </w:r>
              </w:p>
            </w:tc>
            <w:tc>
              <w:tcPr>
                <w:tcW w:w="2127" w:type="dxa"/>
                <w:shd w:val="clear" w:color="auto" w:fill="0073CF" w:themeFill="text1"/>
              </w:tcPr>
              <w:p w14:paraId="06E7FA93" w14:textId="77777777" w:rsidR="00FB79BF" w:rsidRPr="00CF72B1" w:rsidRDefault="00FB79BF" w:rsidP="00961DE0">
                <w:pPr>
                  <w:rPr>
                    <w:rFonts w:ascii="Century Gothic" w:hAnsi="Century Gothic" w:cs="Arial"/>
                    <w:color w:val="FFFFFF" w:themeColor="background1"/>
                    <w:sz w:val="30"/>
                    <w:szCs w:val="30"/>
                  </w:rPr>
                </w:pPr>
                <w:r w:rsidRPr="00CF72B1">
                  <w:rPr>
                    <w:rFonts w:ascii="Century Gothic" w:hAnsi="Century Gothic" w:cs="Arial"/>
                    <w:color w:val="FFFFFF" w:themeColor="background1"/>
                    <w:sz w:val="30"/>
                    <w:szCs w:val="30"/>
                  </w:rPr>
                  <w:t>Actual Review Date</w:t>
                </w:r>
              </w:p>
            </w:tc>
            <w:tc>
              <w:tcPr>
                <w:tcW w:w="2835" w:type="dxa"/>
              </w:tcPr>
              <w:p w14:paraId="0C847A99" w14:textId="77777777" w:rsidR="00FB79BF" w:rsidRPr="00CF72B1" w:rsidRDefault="00FB79BF" w:rsidP="00961DE0">
                <w:pPr>
                  <w:rPr>
                    <w:rFonts w:cs="Arial"/>
                    <w:sz w:val="30"/>
                    <w:szCs w:val="30"/>
                  </w:rPr>
                </w:pPr>
              </w:p>
            </w:tc>
          </w:tr>
        </w:tbl>
        <w:p w14:paraId="6BAB5936" w14:textId="77777777" w:rsidR="00A10F0E" w:rsidRPr="00CF72B1" w:rsidRDefault="00A10F0E" w:rsidP="004E5D83">
          <w:pPr>
            <w:rPr>
              <w:rFonts w:ascii="Century Gothic" w:hAnsi="Century Gothic"/>
            </w:rPr>
          </w:pPr>
        </w:p>
        <w:p w14:paraId="278A5285" w14:textId="77777777" w:rsidR="00AB780A" w:rsidRDefault="00003A92" w:rsidP="00AB780A">
          <w:pPr>
            <w:pStyle w:val="Heading1"/>
          </w:pPr>
          <w:r>
            <w:lastRenderedPageBreak/>
            <w:t>Purpose</w:t>
          </w:r>
        </w:p>
        <w:p w14:paraId="008C935C" w14:textId="77777777" w:rsidR="00650723" w:rsidRPr="00650723" w:rsidRDefault="00650723" w:rsidP="00650723"/>
        <w:p w14:paraId="2BFDD823" w14:textId="77777777" w:rsidR="00BC200D" w:rsidRPr="0079324E" w:rsidRDefault="00BC200D" w:rsidP="00084A9D">
          <w:pPr>
            <w:ind w:left="360"/>
          </w:pPr>
          <w:r>
            <w:t xml:space="preserve">This policy covers rent setting for all tenures at Arches Housing.  It also sets out Arches Housing’s general approach to setting service charges for general needs tenants, </w:t>
          </w:r>
          <w:r w:rsidR="00125115">
            <w:t xml:space="preserve">supported housing tenants and </w:t>
          </w:r>
          <w:r>
            <w:t xml:space="preserve">shared owners and leaseholders. </w:t>
          </w:r>
        </w:p>
        <w:p w14:paraId="44597488" w14:textId="77777777" w:rsidR="00485B24" w:rsidRDefault="00485B24" w:rsidP="00485B24">
          <w:pPr>
            <w:pStyle w:val="Heading1"/>
          </w:pPr>
          <w:r>
            <w:t>References</w:t>
          </w:r>
        </w:p>
        <w:p w14:paraId="36D86521" w14:textId="77777777" w:rsidR="00650723" w:rsidRPr="00650723" w:rsidRDefault="00650723" w:rsidP="00650723"/>
        <w:p w14:paraId="26AC6B5F" w14:textId="77777777" w:rsidR="00485B24" w:rsidRDefault="00485B24" w:rsidP="00084A9D">
          <w:pPr>
            <w:ind w:left="360"/>
          </w:pPr>
          <w:r>
            <w:t xml:space="preserve">The following laws and regulations relate to rent and service charge setting.  It is not an exhaustive list, but includes the main regulations we should </w:t>
          </w:r>
          <w:r w:rsidR="00650723">
            <w:t xml:space="preserve">consider and </w:t>
          </w:r>
          <w:r>
            <w:t>adhere to:</w:t>
          </w:r>
        </w:p>
        <w:p w14:paraId="3F9FE0D2" w14:textId="77777777" w:rsidR="00485B24" w:rsidRDefault="00485B24" w:rsidP="00485B24">
          <w:pPr>
            <w:pStyle w:val="ListParagraph"/>
            <w:numPr>
              <w:ilvl w:val="0"/>
              <w:numId w:val="48"/>
            </w:numPr>
          </w:pPr>
          <w:r>
            <w:t>Rent Act 1977</w:t>
          </w:r>
        </w:p>
        <w:p w14:paraId="7380B2CD" w14:textId="77777777" w:rsidR="00485B24" w:rsidRDefault="00485B24" w:rsidP="00485B24">
          <w:pPr>
            <w:pStyle w:val="ListParagraph"/>
            <w:numPr>
              <w:ilvl w:val="0"/>
              <w:numId w:val="48"/>
            </w:numPr>
          </w:pPr>
          <w:r>
            <w:t>Landlord and Tenant Act 1985</w:t>
          </w:r>
        </w:p>
        <w:p w14:paraId="2B584C7F" w14:textId="77777777" w:rsidR="00485B24" w:rsidRDefault="00485B24" w:rsidP="00485B24">
          <w:pPr>
            <w:pStyle w:val="ListParagraph"/>
            <w:numPr>
              <w:ilvl w:val="0"/>
              <w:numId w:val="48"/>
            </w:numPr>
          </w:pPr>
          <w:r>
            <w:t>Housing Act 1988</w:t>
          </w:r>
        </w:p>
        <w:p w14:paraId="757B7EDF" w14:textId="370157C4" w:rsidR="00485B24" w:rsidRDefault="00084A9D" w:rsidP="00485B24">
          <w:pPr>
            <w:pStyle w:val="ListParagraph"/>
            <w:numPr>
              <w:ilvl w:val="0"/>
              <w:numId w:val="48"/>
            </w:numPr>
          </w:pPr>
          <w:r>
            <w:t>Affordable Housing Capital Funding Guide</w:t>
          </w:r>
          <w:r w:rsidR="00674987">
            <w:t xml:space="preserve"> </w:t>
          </w:r>
        </w:p>
        <w:p w14:paraId="1DBF2FF1" w14:textId="4990D52A" w:rsidR="00650723" w:rsidRPr="0098138C" w:rsidRDefault="00650723" w:rsidP="00485B24">
          <w:pPr>
            <w:pStyle w:val="ListParagraph"/>
            <w:numPr>
              <w:ilvl w:val="0"/>
              <w:numId w:val="48"/>
            </w:numPr>
          </w:pPr>
          <w:r w:rsidRPr="0098138C">
            <w:t>RSH Governance and Financial Viability Standard</w:t>
          </w:r>
          <w:r w:rsidR="00674987">
            <w:t xml:space="preserve"> </w:t>
          </w:r>
        </w:p>
        <w:p w14:paraId="4A9EFF00" w14:textId="544E99BA" w:rsidR="00F77FB0" w:rsidRPr="0098138C" w:rsidRDefault="00F77FB0" w:rsidP="00485B24">
          <w:pPr>
            <w:pStyle w:val="ListParagraph"/>
            <w:numPr>
              <w:ilvl w:val="0"/>
              <w:numId w:val="48"/>
            </w:numPr>
          </w:pPr>
          <w:r w:rsidRPr="0098138C">
            <w:t xml:space="preserve">Welfare Reform and Work Act </w:t>
          </w:r>
        </w:p>
        <w:p w14:paraId="50A983A8" w14:textId="427A0648" w:rsidR="0098138C" w:rsidRDefault="0098138C" w:rsidP="0098138C">
          <w:pPr>
            <w:pStyle w:val="ListParagraph"/>
            <w:numPr>
              <w:ilvl w:val="0"/>
              <w:numId w:val="48"/>
            </w:numPr>
          </w:pPr>
          <w:r w:rsidRPr="0098138C">
            <w:t>RSH Rent Standard</w:t>
          </w:r>
          <w:r w:rsidR="00674987">
            <w:t xml:space="preserve"> </w:t>
          </w:r>
        </w:p>
        <w:p w14:paraId="122CAA03" w14:textId="5E4FD092" w:rsidR="00573AFB" w:rsidRPr="00573AFB" w:rsidRDefault="00573AFB" w:rsidP="00573AFB">
          <w:pPr>
            <w:pStyle w:val="ListParagraph"/>
            <w:numPr>
              <w:ilvl w:val="0"/>
              <w:numId w:val="48"/>
            </w:numPr>
          </w:pPr>
          <w:r w:rsidRPr="00573AFB">
            <w:t>Direction on the Rent Standard.</w:t>
          </w:r>
        </w:p>
        <w:p w14:paraId="5682F0BB" w14:textId="77777777" w:rsidR="00084A9D" w:rsidRDefault="002C5A90" w:rsidP="00084A9D">
          <w:pPr>
            <w:pStyle w:val="Heading1"/>
          </w:pPr>
          <w:r>
            <w:t>Scope</w:t>
          </w:r>
        </w:p>
        <w:p w14:paraId="785A263F" w14:textId="77777777" w:rsidR="00084A9D" w:rsidRPr="00084A9D" w:rsidRDefault="00084A9D" w:rsidP="00084A9D"/>
        <w:p w14:paraId="357A49CE" w14:textId="77777777" w:rsidR="002C5A90" w:rsidRDefault="002C5A90" w:rsidP="00294155">
          <w:pPr>
            <w:ind w:left="360"/>
          </w:pPr>
          <w:r>
            <w:t>This policy applies to the following:</w:t>
          </w:r>
        </w:p>
        <w:p w14:paraId="2F6E34AF" w14:textId="77777777" w:rsidR="003B2DAF" w:rsidRDefault="002C5A90" w:rsidP="003B2DAF">
          <w:pPr>
            <w:pStyle w:val="ListParagraph"/>
            <w:numPr>
              <w:ilvl w:val="0"/>
              <w:numId w:val="38"/>
            </w:numPr>
          </w:pPr>
          <w:r>
            <w:t xml:space="preserve">Assured </w:t>
          </w:r>
          <w:r w:rsidR="00064321">
            <w:t>Tenants</w:t>
          </w:r>
        </w:p>
        <w:p w14:paraId="31E7F70A" w14:textId="77777777" w:rsidR="0016187D" w:rsidRDefault="0016187D" w:rsidP="0016187D">
          <w:pPr>
            <w:pStyle w:val="ListParagraph"/>
            <w:numPr>
              <w:ilvl w:val="0"/>
              <w:numId w:val="38"/>
            </w:numPr>
          </w:pPr>
          <w:r>
            <w:t>Secure Tenants</w:t>
          </w:r>
          <w:r w:rsidR="002C5A90">
            <w:t xml:space="preserve"> </w:t>
          </w:r>
        </w:p>
        <w:p w14:paraId="2AFD0FD4" w14:textId="77777777" w:rsidR="0016187D" w:rsidRDefault="0016187D" w:rsidP="0016187D">
          <w:pPr>
            <w:pStyle w:val="ListParagraph"/>
            <w:numPr>
              <w:ilvl w:val="0"/>
              <w:numId w:val="38"/>
            </w:numPr>
          </w:pPr>
          <w:r>
            <w:t xml:space="preserve">Leaseholders </w:t>
          </w:r>
        </w:p>
        <w:p w14:paraId="4954FFA6" w14:textId="77777777" w:rsidR="0016187D" w:rsidRDefault="00F00B89" w:rsidP="0016187D">
          <w:pPr>
            <w:pStyle w:val="ListParagraph"/>
            <w:numPr>
              <w:ilvl w:val="0"/>
              <w:numId w:val="38"/>
            </w:numPr>
          </w:pPr>
          <w:r>
            <w:t>Licensees</w:t>
          </w:r>
        </w:p>
        <w:p w14:paraId="5CE04FA8" w14:textId="77777777" w:rsidR="00B459E2" w:rsidRDefault="002C5A90" w:rsidP="00B459E2">
          <w:pPr>
            <w:pStyle w:val="Heading1"/>
          </w:pPr>
          <w:r>
            <w:t>A</w:t>
          </w:r>
          <w:r w:rsidR="00EF3E4B">
            <w:t>ffordable Rent Setting</w:t>
          </w:r>
          <w:r w:rsidR="00064321">
            <w:t xml:space="preserve"> for Assured Periodic Tenants</w:t>
          </w:r>
        </w:p>
        <w:p w14:paraId="245CBD65" w14:textId="77777777" w:rsidR="00F0508F" w:rsidRDefault="00F0508F" w:rsidP="00064321">
          <w:pPr>
            <w:tabs>
              <w:tab w:val="left" w:pos="426"/>
            </w:tabs>
          </w:pPr>
        </w:p>
        <w:p w14:paraId="14DA8B9C" w14:textId="77777777" w:rsidR="0018033B" w:rsidRDefault="0018033B" w:rsidP="004475EF">
          <w:pPr>
            <w:ind w:left="284"/>
          </w:pPr>
          <w:r>
            <w:t>An affordable rent is set at 80% of gross market rent (inclusive of service charge) on the commencement of a new tenancy.</w:t>
          </w:r>
        </w:p>
        <w:p w14:paraId="1F2A90D4" w14:textId="65FD11BD" w:rsidR="0098138C" w:rsidRDefault="00104B56" w:rsidP="004475EF">
          <w:pPr>
            <w:ind w:left="284"/>
          </w:pPr>
          <w:r>
            <w:t>T</w:t>
          </w:r>
          <w:r w:rsidR="0098138C" w:rsidRPr="006E08EF">
            <w:t>he RSH Rent Standard</w:t>
          </w:r>
          <w:r w:rsidR="0098138C">
            <w:t xml:space="preserve"> allows affordable rent properties to have a</w:t>
          </w:r>
          <w:r w:rsidR="0018033B">
            <w:t>n</w:t>
          </w:r>
          <w:r w:rsidR="0098138C">
            <w:t xml:space="preserve"> annual rent increase </w:t>
          </w:r>
          <w:r w:rsidR="001D7CED">
            <w:t>of up</w:t>
          </w:r>
          <w:r w:rsidR="0018033B">
            <w:t xml:space="preserve"> </w:t>
          </w:r>
          <w:r w:rsidR="006E08EF">
            <w:t>to CPI +1%, b</w:t>
          </w:r>
          <w:r w:rsidR="0018033B">
            <w:t xml:space="preserve">ased on the preceding Septembers CPI figure. </w:t>
          </w:r>
          <w:r w:rsidR="00A2495D">
            <w:t>Annually w</w:t>
          </w:r>
          <w:r w:rsidR="001D7CED">
            <w:t xml:space="preserve">e will </w:t>
          </w:r>
          <w:r w:rsidR="0018033B">
            <w:t>assess</w:t>
          </w:r>
          <w:r w:rsidR="001D7CED">
            <w:t xml:space="preserve"> our </w:t>
          </w:r>
          <w:r w:rsidR="00A2495D">
            <w:t>rents</w:t>
          </w:r>
          <w:r w:rsidR="001D7CED">
            <w:t xml:space="preserve"> on a </w:t>
          </w:r>
          <w:proofErr w:type="gramStart"/>
          <w:r w:rsidR="007965BC">
            <w:t>property</w:t>
          </w:r>
          <w:r w:rsidR="001D7CED">
            <w:t xml:space="preserve"> by </w:t>
          </w:r>
          <w:r w:rsidR="007965BC">
            <w:t>property</w:t>
          </w:r>
          <w:proofErr w:type="gramEnd"/>
          <w:r w:rsidR="007965BC">
            <w:t xml:space="preserve"> </w:t>
          </w:r>
          <w:r w:rsidR="001D7CED">
            <w:t>basis to identify whether this increase is affordable to our tenants.</w:t>
          </w:r>
        </w:p>
        <w:p w14:paraId="3F02CE7C" w14:textId="77777777" w:rsidR="00F0508F" w:rsidRDefault="00F0508F" w:rsidP="004475EF">
          <w:pPr>
            <w:ind w:left="284"/>
          </w:pPr>
          <w:r>
            <w:t xml:space="preserve">For Affordable Rents, </w:t>
          </w:r>
          <w:r w:rsidR="0018033B">
            <w:t>any</w:t>
          </w:r>
          <w:r>
            <w:t xml:space="preserve"> </w:t>
          </w:r>
          <w:r w:rsidR="001D7CED">
            <w:t>increase</w:t>
          </w:r>
          <w:r>
            <w:t xml:space="preserve"> applies to the gross rent, </w:t>
          </w:r>
          <w:proofErr w:type="spellStart"/>
          <w:r>
            <w:t>ie</w:t>
          </w:r>
          <w:proofErr w:type="spellEnd"/>
          <w:r>
            <w:t>, inclusive of service charge.</w:t>
          </w:r>
        </w:p>
        <w:p w14:paraId="69B85119" w14:textId="77777777" w:rsidR="00B459E2" w:rsidRDefault="00B459E2" w:rsidP="004475EF">
          <w:pPr>
            <w:ind w:left="284"/>
          </w:pPr>
          <w:r>
            <w:t xml:space="preserve">Where a tenant is transferring within Arches Housing stock, and their previous home was let at a social rent level, and the new home is an Affordable Rent property, the transferring tenant will be charged the Affordable Rent at the new property.  Equally if a tenant is transferring within Arches Housing stock and </w:t>
          </w:r>
          <w:r w:rsidR="00674987">
            <w:lastRenderedPageBreak/>
            <w:t xml:space="preserve">their current home </w:t>
          </w:r>
          <w:r>
            <w:t xml:space="preserve">is an Affordable Rent property, and the property they are transferring to is a property set at a social rent, then the social rent will be applied. </w:t>
          </w:r>
        </w:p>
        <w:p w14:paraId="5F0C150E" w14:textId="69234F2D" w:rsidR="00B459E2" w:rsidRDefault="00B459E2" w:rsidP="00084A9D">
          <w:pPr>
            <w:tabs>
              <w:tab w:val="left" w:pos="284"/>
            </w:tabs>
            <w:ind w:left="284"/>
          </w:pPr>
          <w:r>
            <w:t xml:space="preserve">The overarching principle is that </w:t>
          </w:r>
          <w:r w:rsidR="000F06F7">
            <w:t xml:space="preserve">the </w:t>
          </w:r>
          <w:r>
            <w:t xml:space="preserve">property holds the rent value at either Affordable or social rent, not the tenant. </w:t>
          </w:r>
        </w:p>
        <w:p w14:paraId="6D90A648" w14:textId="77777777" w:rsidR="00664313" w:rsidRDefault="00B459E2" w:rsidP="00084A9D">
          <w:pPr>
            <w:tabs>
              <w:tab w:val="left" w:pos="284"/>
            </w:tabs>
            <w:ind w:left="284"/>
          </w:pPr>
          <w:r>
            <w:t xml:space="preserve">In all cases, an </w:t>
          </w:r>
          <w:r w:rsidR="00674987">
            <w:t>A</w:t>
          </w:r>
          <w:r>
            <w:t xml:space="preserve">ffordable rent should be no lower than the rent calculated based on the current formula rent regime.  In cases where an </w:t>
          </w:r>
          <w:r w:rsidR="00674987">
            <w:t>A</w:t>
          </w:r>
          <w:r>
            <w:t>ffordable rent would otherwise be lower than the formula rent for a property, the formula rent will constitute a ‘floor’ for the rent to be charged</w:t>
          </w:r>
          <w:r w:rsidR="007B3D2D">
            <w:t xml:space="preserve">. </w:t>
          </w:r>
        </w:p>
        <w:p w14:paraId="6147FD15" w14:textId="77777777" w:rsidR="00064321" w:rsidRDefault="00064321" w:rsidP="00084A9D">
          <w:pPr>
            <w:tabs>
              <w:tab w:val="left" w:pos="284"/>
            </w:tabs>
            <w:ind w:left="284"/>
          </w:pPr>
          <w:r>
            <w:t xml:space="preserve">Arches Housing will not convert any further social rent properties to Affordable Rent tenancies unless it is party to a development </w:t>
          </w:r>
          <w:r w:rsidR="00084A9D">
            <w:t xml:space="preserve">delivery </w:t>
          </w:r>
          <w:r>
            <w:t>agreement</w:t>
          </w:r>
          <w:r w:rsidR="00084A9D">
            <w:t xml:space="preserve"> with Homes England</w:t>
          </w:r>
          <w:r>
            <w:t xml:space="preserve"> which permits this as part of that agreement. Where a social rent property has been converted to an Affordable Rent tenancy, Arches will continue to re-let the property as an Affordable Rent tenancy. </w:t>
          </w:r>
        </w:p>
        <w:p w14:paraId="21C5023F" w14:textId="77777777" w:rsidR="00664313" w:rsidRDefault="007B3D2D" w:rsidP="00563DC1">
          <w:pPr>
            <w:pStyle w:val="Heading1"/>
          </w:pPr>
          <w:r>
            <w:t>Social Rent Setting for Assured Periodic Tenants</w:t>
          </w:r>
          <w:r w:rsidR="00B83C00">
            <w:t xml:space="preserve"> and Licensees</w:t>
          </w:r>
          <w:r>
            <w:t xml:space="preserve"> </w:t>
          </w:r>
        </w:p>
        <w:p w14:paraId="1DF3E8C8" w14:textId="77777777" w:rsidR="007B3D2D" w:rsidRPr="007B3D2D" w:rsidRDefault="007B3D2D" w:rsidP="007B3D2D"/>
        <w:p w14:paraId="3135F57B" w14:textId="77777777" w:rsidR="007B3D2D" w:rsidRDefault="007B3D2D" w:rsidP="007B3D2D">
          <w:pPr>
            <w:ind w:left="360"/>
          </w:pPr>
          <w:r>
            <w:t xml:space="preserve">A social rent is charged in accordance with the Regulator of Social Housing’s Rent Standard guidelines and works to a formula rent.  The rent is based on a formula which </w:t>
          </w:r>
          <w:proofErr w:type="gramStart"/>
          <w:r>
            <w:t>takes into account</w:t>
          </w:r>
          <w:proofErr w:type="gramEnd"/>
          <w:r>
            <w:t xml:space="preserve"> both the value of the property and the earnings levels of the local area. A bedroom factor is also applied to reflect rent difference</w:t>
          </w:r>
          <w:r w:rsidR="007F2520">
            <w:t>s in different size properties and a 5% tolerance is allowed on the final formula rent.</w:t>
          </w:r>
        </w:p>
        <w:p w14:paraId="7E174BB1" w14:textId="19016455" w:rsidR="0018033B" w:rsidRDefault="00620589" w:rsidP="006B0B2C">
          <w:pPr>
            <w:ind w:left="360"/>
          </w:pPr>
          <w:r>
            <w:t>The</w:t>
          </w:r>
          <w:r w:rsidR="0018033B" w:rsidRPr="006E08EF">
            <w:t xml:space="preserve"> RSH Rent Standard</w:t>
          </w:r>
          <w:r w:rsidR="0018033B">
            <w:t xml:space="preserve"> allows social rent properties to have an annual rent increase of up to </w:t>
          </w:r>
          <w:r w:rsidR="00A2495D">
            <w:t xml:space="preserve">CPI +1%, based on the preceding Septembers CPI figure. Annually we will assess our rents </w:t>
          </w:r>
          <w:r w:rsidR="0008139C">
            <w:t xml:space="preserve">affordability </w:t>
          </w:r>
          <w:r w:rsidR="00A2495D">
            <w:t xml:space="preserve">on a </w:t>
          </w:r>
          <w:proofErr w:type="gramStart"/>
          <w:r w:rsidR="0008139C">
            <w:t>property</w:t>
          </w:r>
          <w:r w:rsidR="00A2495D">
            <w:t xml:space="preserve"> by </w:t>
          </w:r>
          <w:r w:rsidR="0008139C">
            <w:t>property</w:t>
          </w:r>
          <w:proofErr w:type="gramEnd"/>
          <w:r w:rsidR="0008139C">
            <w:t xml:space="preserve"> </w:t>
          </w:r>
          <w:r w:rsidR="00A2495D">
            <w:t>basis to identify whether this increase is affordable to our tenants.</w:t>
          </w:r>
        </w:p>
        <w:p w14:paraId="5EBFC799" w14:textId="77777777" w:rsidR="003B2DAF" w:rsidRPr="003B2DAF" w:rsidRDefault="0010395C" w:rsidP="003B2DAF">
          <w:pPr>
            <w:pStyle w:val="Heading1"/>
          </w:pPr>
          <w:r>
            <w:t>Secure Tenancy Rent Setting</w:t>
          </w:r>
        </w:p>
        <w:p w14:paraId="7E5933FC" w14:textId="77777777" w:rsidR="0010395C" w:rsidRPr="0010395C" w:rsidRDefault="0010395C" w:rsidP="0010395C"/>
        <w:p w14:paraId="3F2C50F8" w14:textId="77777777" w:rsidR="0010395C" w:rsidRDefault="0010395C" w:rsidP="0010395C">
          <w:pPr>
            <w:ind w:left="360"/>
          </w:pPr>
          <w:r>
            <w:t>Tenancies that commenced before 15</w:t>
          </w:r>
          <w:r w:rsidRPr="0010395C">
            <w:rPr>
              <w:vertAlign w:val="superscript"/>
            </w:rPr>
            <w:t>th</w:t>
          </w:r>
          <w:r>
            <w:t xml:space="preserve"> January 1989 remain ‘secure’ with ‘fair rents’ that continue to be </w:t>
          </w:r>
          <w:r w:rsidR="0018033B">
            <w:t>calculated at the lower of the formula rent and the ‘fair rent’ set</w:t>
          </w:r>
          <w:r>
            <w:t xml:space="preserve"> by Rent Officers at the Valuation Office. </w:t>
          </w:r>
        </w:p>
        <w:p w14:paraId="222B0ED7" w14:textId="28FCD2B0" w:rsidR="0018033B" w:rsidRDefault="0008139C" w:rsidP="0018033B">
          <w:pPr>
            <w:ind w:left="360"/>
          </w:pPr>
          <w:r>
            <w:t>T</w:t>
          </w:r>
          <w:r w:rsidR="0018033B">
            <w:t xml:space="preserve">he </w:t>
          </w:r>
          <w:r w:rsidR="0018033B" w:rsidRPr="00A2495D">
            <w:t>RSH Rent Standard allows</w:t>
          </w:r>
          <w:r w:rsidR="0018033B">
            <w:t xml:space="preserve"> Secure tenancies to have an annual rent increase of up to </w:t>
          </w:r>
          <w:r w:rsidR="00A2495D">
            <w:t xml:space="preserve">CPI +1%, based on the preceding Septembers CPI figure. Annually we will assess our rents on a </w:t>
          </w:r>
          <w:proofErr w:type="gramStart"/>
          <w:r w:rsidR="00A2495D">
            <w:t>scheme by scheme</w:t>
          </w:r>
          <w:proofErr w:type="gramEnd"/>
          <w:r w:rsidR="00A2495D">
            <w:t xml:space="preserve"> basis to identify whether this increase is affordable to our tenants.</w:t>
          </w:r>
          <w:r w:rsidR="0018033B">
            <w:t xml:space="preserve"> In each instance the formula rent will then be compared to the rent officer rate, and the lower will be charged.</w:t>
          </w:r>
        </w:p>
        <w:p w14:paraId="68E5124A" w14:textId="77777777" w:rsidR="003B2DAF" w:rsidRDefault="003B2DAF" w:rsidP="003B2DAF">
          <w:pPr>
            <w:pStyle w:val="Heading1"/>
          </w:pPr>
          <w:r>
            <w:t>Shared Ownership Rent Setting</w:t>
          </w:r>
        </w:p>
        <w:p w14:paraId="36FB85F6" w14:textId="77777777" w:rsidR="004475EF" w:rsidRPr="004475EF" w:rsidRDefault="004475EF" w:rsidP="004475EF"/>
        <w:p w14:paraId="6A4F097A" w14:textId="77777777" w:rsidR="003B2DAF" w:rsidRDefault="003B2DAF" w:rsidP="00DB220B">
          <w:pPr>
            <w:ind w:left="360"/>
          </w:pPr>
          <w:r>
            <w:t>Shared Ownership rent increases will be carried out in accordance with individual lease agreements.</w:t>
          </w:r>
        </w:p>
        <w:p w14:paraId="752B88B9" w14:textId="77777777" w:rsidR="0018033B" w:rsidRDefault="0018033B" w:rsidP="00DB220B">
          <w:pPr>
            <w:ind w:left="360"/>
          </w:pPr>
        </w:p>
        <w:p w14:paraId="222927A1" w14:textId="77777777" w:rsidR="0018033B" w:rsidRDefault="0018033B" w:rsidP="00DB220B">
          <w:pPr>
            <w:ind w:left="360"/>
          </w:pPr>
        </w:p>
        <w:p w14:paraId="1FE2203C" w14:textId="77777777" w:rsidR="0018033B" w:rsidRPr="0010395C" w:rsidRDefault="0018033B" w:rsidP="00DB220B">
          <w:pPr>
            <w:ind w:left="360"/>
          </w:pPr>
        </w:p>
        <w:p w14:paraId="40FB61FB" w14:textId="77777777" w:rsidR="003B2DAF" w:rsidRDefault="002C5A90" w:rsidP="003B2DAF">
          <w:pPr>
            <w:pStyle w:val="Heading1"/>
          </w:pPr>
          <w:r>
            <w:lastRenderedPageBreak/>
            <w:t>Service Charges</w:t>
          </w:r>
        </w:p>
        <w:p w14:paraId="06EABF44" w14:textId="77777777" w:rsidR="0018033B" w:rsidRDefault="0018033B" w:rsidP="006B0B2C">
          <w:pPr>
            <w:ind w:left="360"/>
          </w:pPr>
        </w:p>
        <w:p w14:paraId="76B84873" w14:textId="77777777" w:rsidR="00B83C00" w:rsidRDefault="00B83C00" w:rsidP="006B0B2C">
          <w:pPr>
            <w:ind w:left="360"/>
          </w:pPr>
          <w:r>
            <w:t>A service charge is an amount payable by a tenant or leaseholder of a dwelling as part of, or in addition to</w:t>
          </w:r>
          <w:r w:rsidR="00674987">
            <w:t>,</w:t>
          </w:r>
          <w:r>
            <w:t xml:space="preserve"> the rent which is payable directly or indirectly for services, repairs, maintenance, improvements or insurance or the landlords costs of management. </w:t>
          </w:r>
        </w:p>
        <w:p w14:paraId="16C05F30" w14:textId="77777777" w:rsidR="002C5A90" w:rsidRDefault="006B0B2C" w:rsidP="006B0B2C">
          <w:pPr>
            <w:ind w:left="360"/>
          </w:pPr>
          <w:r>
            <w:t>The association operates a fixed service charge regime for its general n</w:t>
          </w:r>
          <w:r w:rsidR="00EC12CF">
            <w:t>eeds and supported housing homes</w:t>
          </w:r>
          <w:r>
            <w:t xml:space="preserve">.  Variable service charge regimes are in place for leaseholders </w:t>
          </w:r>
          <w:r w:rsidR="00EC12CF">
            <w:t xml:space="preserve">and housing for over 55s </w:t>
          </w:r>
          <w:r w:rsidR="002E4352">
            <w:t xml:space="preserve">properties </w:t>
          </w:r>
          <w:r>
            <w:t xml:space="preserve">in line with their contractual agreements. </w:t>
          </w:r>
        </w:p>
        <w:p w14:paraId="6D106E34" w14:textId="77777777" w:rsidR="006B0B2C" w:rsidRDefault="006B0B2C" w:rsidP="006B0B2C">
          <w:pPr>
            <w:ind w:left="360"/>
          </w:pPr>
          <w:r>
            <w:t xml:space="preserve">The association will seek to recover all costs associated with communal living where those costs are considered </w:t>
          </w:r>
          <w:r w:rsidR="00135B22">
            <w:t>reasonable</w:t>
          </w:r>
          <w:r w:rsidR="00106BB8">
            <w:t xml:space="preserve"> to be charged as a service charge regardless of if the service provided is eligible for housing benefit or the housing costs element of Universal Credit. </w:t>
          </w:r>
        </w:p>
        <w:p w14:paraId="2A60C2D1" w14:textId="77777777" w:rsidR="00106BB8" w:rsidRDefault="00106BB8" w:rsidP="006B0B2C">
          <w:pPr>
            <w:ind w:left="360"/>
          </w:pPr>
          <w:r>
            <w:t>Where there is currently no service charge regime in place</w:t>
          </w:r>
          <w:r w:rsidR="00B83C00">
            <w:t xml:space="preserve"> for</w:t>
          </w:r>
          <w:r>
            <w:t xml:space="preserve"> schemes and there are services provided</w:t>
          </w:r>
          <w:r w:rsidR="00EC12CF">
            <w:t xml:space="preserve"> or are required to be provided</w:t>
          </w:r>
          <w:r>
            <w:t>, the association will consult with residents with a view to introducing service charges where tenancy agreements permit this to happen.   Where service charges are introduced, a phased a</w:t>
          </w:r>
          <w:r w:rsidR="00B83C00">
            <w:t>pproach will be considered ensuring</w:t>
          </w:r>
          <w:r>
            <w:t xml:space="preserve"> the first years’ service charge </w:t>
          </w:r>
          <w:r w:rsidR="00135B22">
            <w:t xml:space="preserve">does not </w:t>
          </w:r>
          <w:r w:rsidR="00910E8D">
            <w:t>exceed</w:t>
          </w:r>
          <w:r w:rsidR="00116FF8">
            <w:t xml:space="preserve"> £2</w:t>
          </w:r>
          <w:r w:rsidR="00135B22">
            <w:t xml:space="preserve"> per week. </w:t>
          </w:r>
          <w:r>
            <w:t xml:space="preserve">  </w:t>
          </w:r>
        </w:p>
        <w:p w14:paraId="5D1EA491" w14:textId="77777777" w:rsidR="00EC12CF" w:rsidRDefault="00EC12CF" w:rsidP="006B0B2C">
          <w:pPr>
            <w:ind w:left="360"/>
          </w:pPr>
          <w:r>
            <w:t xml:space="preserve">Where a service charge is in </w:t>
          </w:r>
          <w:proofErr w:type="gramStart"/>
          <w:r>
            <w:t>place</w:t>
          </w:r>
          <w:proofErr w:type="gramEnd"/>
          <w:r>
            <w:t xml:space="preserve"> but the services provided are increased</w:t>
          </w:r>
          <w:r w:rsidR="00910E8D">
            <w:t>,</w:t>
          </w:r>
          <w:r>
            <w:t xml:space="preserve"> any annual increase in service charge will be limited to an increase of either 100% or £5 per week whichever is the </w:t>
          </w:r>
          <w:r w:rsidR="00B83C00">
            <w:t>lesser</w:t>
          </w:r>
          <w:r>
            <w:t xml:space="preserve"> value of the two. </w:t>
          </w:r>
          <w:r w:rsidR="00084A9D">
            <w:t xml:space="preserve"> </w:t>
          </w:r>
        </w:p>
        <w:p w14:paraId="7B9C23F1" w14:textId="77777777" w:rsidR="00106BB8" w:rsidRDefault="00910E8D" w:rsidP="006B0B2C">
          <w:pPr>
            <w:ind w:left="360"/>
          </w:pPr>
          <w:r>
            <w:t>For example</w:t>
          </w:r>
          <w:r w:rsidR="00116FF8">
            <w:t xml:space="preserve"> (for illustration purposes)</w:t>
          </w:r>
          <w:r>
            <w:t>:</w:t>
          </w:r>
        </w:p>
        <w:p w14:paraId="301BC984" w14:textId="77777777" w:rsidR="00910E8D" w:rsidRDefault="00910E8D" w:rsidP="006B0B2C">
          <w:pPr>
            <w:ind w:left="360"/>
          </w:pPr>
          <w:r>
            <w:t xml:space="preserve">A service charge of £3.60 which is set to increase by £5 at its annual </w:t>
          </w:r>
          <w:r w:rsidR="00116FF8">
            <w:t xml:space="preserve">review would be capped at £7.20 per week </w:t>
          </w:r>
          <w:r>
            <w:t>(100% increase cap)</w:t>
          </w:r>
        </w:p>
        <w:p w14:paraId="350E9543" w14:textId="77777777" w:rsidR="00910E8D" w:rsidRDefault="00910E8D" w:rsidP="00910E8D">
          <w:pPr>
            <w:ind w:left="360"/>
          </w:pPr>
          <w:r>
            <w:t>A service charge of £0.80p which is set to increase by £3 at its annual review would be capped at £1.60</w:t>
          </w:r>
          <w:r w:rsidR="00116FF8">
            <w:t xml:space="preserve"> per week</w:t>
          </w:r>
          <w:r>
            <w:t xml:space="preserve"> (100% increase cap)</w:t>
          </w:r>
        </w:p>
        <w:p w14:paraId="0B80E9AF" w14:textId="77777777" w:rsidR="00910E8D" w:rsidRDefault="00910E8D" w:rsidP="00910E8D">
          <w:pPr>
            <w:ind w:left="360"/>
          </w:pPr>
          <w:r>
            <w:t>A service charge of £23.60p which is set to increase by £6.20 at its annu</w:t>
          </w:r>
          <w:r w:rsidR="003B2DAF">
            <w:t>al review would be capped at £28</w:t>
          </w:r>
          <w:r>
            <w:t>.60</w:t>
          </w:r>
          <w:r w:rsidR="00116FF8">
            <w:t xml:space="preserve"> per week</w:t>
          </w:r>
          <w:r>
            <w:t xml:space="preserve"> (£5 per week increase cap) </w:t>
          </w:r>
        </w:p>
        <w:p w14:paraId="6B9196D8" w14:textId="77777777" w:rsidR="00106BB8" w:rsidRPr="002C5A90" w:rsidRDefault="00650723" w:rsidP="006B0B2C">
          <w:pPr>
            <w:ind w:left="360"/>
          </w:pPr>
          <w:r>
            <w:t>T</w:t>
          </w:r>
          <w:r w:rsidR="00B83C00">
            <w:t xml:space="preserve">he association will comply </w:t>
          </w:r>
          <w:r w:rsidR="00CA0E14">
            <w:t>with section</w:t>
          </w:r>
          <w:r>
            <w:t xml:space="preserve"> 20 of the Landlord and Tenant Act </w:t>
          </w:r>
          <w:proofErr w:type="gramStart"/>
          <w:r>
            <w:t>1985,</w:t>
          </w:r>
          <w:r w:rsidR="00CA0E14">
            <w:t xml:space="preserve"> and</w:t>
          </w:r>
          <w:proofErr w:type="gramEnd"/>
          <w:r w:rsidR="00CA0E14">
            <w:t xml:space="preserve"> will</w:t>
          </w:r>
          <w:r w:rsidR="00B83C00">
            <w:t xml:space="preserve"> consult with variable service charge tenants and leaseholders </w:t>
          </w:r>
          <w:r w:rsidR="00CA0E14">
            <w:t xml:space="preserve">when introducing costs for works </w:t>
          </w:r>
          <w:r>
            <w:t xml:space="preserve">which </w:t>
          </w:r>
          <w:r w:rsidR="00CA0E14">
            <w:t>would exceed £250</w:t>
          </w:r>
          <w:r>
            <w:t xml:space="preserve"> or</w:t>
          </w:r>
          <w:r w:rsidR="00CA0E14">
            <w:t xml:space="preserve"> individual services on long term agreements </w:t>
          </w:r>
          <w:r>
            <w:t xml:space="preserve">which </w:t>
          </w:r>
          <w:r w:rsidR="00CA0E14">
            <w:t xml:space="preserve">exceed £100 per annum.  Where consultation does not take place costs will be limited to £250 per annum for works and £100 per annum for services.  </w:t>
          </w:r>
        </w:p>
        <w:p w14:paraId="4B54C61E" w14:textId="77777777" w:rsidR="00650723" w:rsidRDefault="00B77E4D" w:rsidP="00650723">
          <w:pPr>
            <w:pStyle w:val="Heading1"/>
          </w:pPr>
          <w:r>
            <w:t>Review</w:t>
          </w:r>
        </w:p>
        <w:p w14:paraId="0E414B3D" w14:textId="77777777" w:rsidR="00116FF8" w:rsidRPr="00116FF8" w:rsidRDefault="00116FF8" w:rsidP="00116FF8"/>
        <w:p w14:paraId="76356094" w14:textId="77777777" w:rsidR="00520A09" w:rsidRDefault="00650723" w:rsidP="00650723">
          <w:pPr>
            <w:ind w:left="360"/>
          </w:pPr>
          <w:r>
            <w:t>This policy</w:t>
          </w:r>
          <w:r w:rsidR="00A2495D">
            <w:t xml:space="preserve"> reflects the </w:t>
          </w:r>
          <w:proofErr w:type="gramStart"/>
          <w:r w:rsidR="00A2495D">
            <w:t>five year</w:t>
          </w:r>
          <w:proofErr w:type="gramEnd"/>
          <w:r w:rsidR="00A2495D">
            <w:t xml:space="preserve"> rent settlement and will therefore be</w:t>
          </w:r>
          <w:r w:rsidR="00116FF8">
            <w:t xml:space="preserve"> </w:t>
          </w:r>
          <w:r w:rsidR="00116FF8" w:rsidRPr="00A2495D">
            <w:t xml:space="preserve">updated in </w:t>
          </w:r>
          <w:r w:rsidR="00A2495D" w:rsidRPr="00A2495D">
            <w:t>January</w:t>
          </w:r>
          <w:r w:rsidR="00116FF8" w:rsidRPr="00A2495D">
            <w:t xml:space="preserve"> 20</w:t>
          </w:r>
          <w:r w:rsidR="00520A09">
            <w:t>30</w:t>
          </w:r>
          <w:r w:rsidR="00116FF8" w:rsidRPr="00A2495D">
            <w:t>,</w:t>
          </w:r>
          <w:r w:rsidR="00116FF8">
            <w:t xml:space="preserve"> or before</w:t>
          </w:r>
          <w:r>
            <w:t xml:space="preserve"> if there are significant changes to current legislation, regulations or codes of practice or guidance.  </w:t>
          </w:r>
        </w:p>
        <w:p w14:paraId="79F00A92" w14:textId="1443558B" w:rsidR="00AB780A" w:rsidRPr="00B77E4D" w:rsidRDefault="00123835" w:rsidP="00650723">
          <w:pPr>
            <w:ind w:left="360"/>
          </w:pPr>
        </w:p>
      </w:sdtContent>
    </w:sdt>
    <w:p w14:paraId="08D271B6" w14:textId="77777777" w:rsidR="00003A92" w:rsidRDefault="00003A92" w:rsidP="00003A92">
      <w:pPr>
        <w:pStyle w:val="Heading1"/>
      </w:pPr>
      <w:r>
        <w:lastRenderedPageBreak/>
        <w:t>Governance and Assurance</w:t>
      </w:r>
    </w:p>
    <w:p w14:paraId="0C611189" w14:textId="77777777" w:rsidR="004475EF" w:rsidRPr="004475EF" w:rsidRDefault="004475EF" w:rsidP="004475EF"/>
    <w:p w14:paraId="02EA7403" w14:textId="77777777" w:rsidR="00650723" w:rsidRDefault="00650723" w:rsidP="003B2DAF">
      <w:pPr>
        <w:ind w:left="284"/>
      </w:pPr>
      <w:r>
        <w:t xml:space="preserve">Compliance with all relevant laws and the regulatory standards including those relating to rent and viability will be reported to the Board annually. </w:t>
      </w:r>
    </w:p>
    <w:p w14:paraId="77715640" w14:textId="77777777" w:rsidR="00B77E4D" w:rsidRDefault="00B77E4D" w:rsidP="00A634BE">
      <w:pPr>
        <w:pStyle w:val="Heading1"/>
      </w:pPr>
      <w:r>
        <w:t>Equality and Diversity</w:t>
      </w:r>
    </w:p>
    <w:p w14:paraId="5206DA2D" w14:textId="77777777" w:rsidR="004475EF" w:rsidRPr="004475EF" w:rsidRDefault="004475EF" w:rsidP="004475EF"/>
    <w:p w14:paraId="6BECC3BE" w14:textId="77777777" w:rsidR="00A13B4D" w:rsidRPr="00A13B4D" w:rsidRDefault="00B77E4D" w:rsidP="003C45B8">
      <w:pPr>
        <w:ind w:left="426"/>
      </w:pPr>
      <w:r w:rsidRPr="00B77E4D">
        <w:t>All involved</w:t>
      </w:r>
      <w:r>
        <w:t xml:space="preserve"> in the implementation and monitoring of this policy</w:t>
      </w:r>
      <w:r w:rsidRPr="00B77E4D">
        <w:t xml:space="preserve"> will recognise their ethical and a legal duty to advance equality of opportunity and prevent discrimination on the grounds of; age, sex, sexual orientation, disability, race, religion or belief, gender reassignment, pregnancy and maternity, marriage and civil partnership.</w:t>
      </w:r>
    </w:p>
    <w:p w14:paraId="751E303A" w14:textId="77777777" w:rsidR="00B77E4D" w:rsidRDefault="00650723" w:rsidP="00650723">
      <w:pPr>
        <w:pStyle w:val="Heading1"/>
        <w:numPr>
          <w:ilvl w:val="0"/>
          <w:numId w:val="0"/>
        </w:numPr>
        <w:ind w:left="142" w:hanging="142"/>
      </w:pPr>
      <w:r>
        <w:t>1</w:t>
      </w:r>
      <w:r w:rsidR="007F2520">
        <w:t>2</w:t>
      </w:r>
      <w:r>
        <w:t xml:space="preserve">. </w:t>
      </w:r>
      <w:r w:rsidR="00A634BE">
        <w:tab/>
      </w:r>
      <w:r w:rsidR="00B77E4D">
        <w:t>Publication</w:t>
      </w:r>
    </w:p>
    <w:p w14:paraId="222D29F7" w14:textId="77777777" w:rsidR="00B77E4D" w:rsidRDefault="00B77E4D" w:rsidP="00650723">
      <w:pPr>
        <w:pStyle w:val="ListParagraph"/>
        <w:ind w:left="284"/>
      </w:pPr>
    </w:p>
    <w:p w14:paraId="39AFBD2D" w14:textId="77777777" w:rsidR="00650723" w:rsidRDefault="00650723" w:rsidP="00650723">
      <w:pPr>
        <w:pStyle w:val="ListParagraph"/>
        <w:ind w:left="426"/>
      </w:pPr>
      <w:r>
        <w:t xml:space="preserve">This policy will be published on the Arches Website. </w:t>
      </w:r>
    </w:p>
    <w:p w14:paraId="25F93606" w14:textId="77777777" w:rsidR="007F2520" w:rsidRDefault="007F2520" w:rsidP="00650723">
      <w:pPr>
        <w:pStyle w:val="ListParagraph"/>
        <w:ind w:left="426"/>
      </w:pPr>
    </w:p>
    <w:p w14:paraId="649A5361" w14:textId="77777777" w:rsidR="007F2520" w:rsidRDefault="007F2520" w:rsidP="007F2520">
      <w:pPr>
        <w:pStyle w:val="Heading1"/>
        <w:numPr>
          <w:ilvl w:val="0"/>
          <w:numId w:val="0"/>
        </w:numPr>
        <w:ind w:left="142" w:hanging="142"/>
      </w:pPr>
      <w:r>
        <w:t xml:space="preserve">13. </w:t>
      </w:r>
      <w:r>
        <w:tab/>
        <w:t>Version updates</w:t>
      </w:r>
    </w:p>
    <w:p w14:paraId="0F7D89DB" w14:textId="77777777" w:rsidR="007F2520" w:rsidRDefault="007F2520" w:rsidP="00650723">
      <w:pPr>
        <w:pStyle w:val="ListParagraph"/>
        <w:ind w:left="426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3"/>
        <w:gridCol w:w="1272"/>
        <w:gridCol w:w="8161"/>
      </w:tblGrid>
      <w:tr w:rsidR="007F2520" w14:paraId="60FD8EEB" w14:textId="77777777" w:rsidTr="007F2520">
        <w:tc>
          <w:tcPr>
            <w:tcW w:w="988" w:type="dxa"/>
          </w:tcPr>
          <w:p w14:paraId="5E1E5353" w14:textId="77777777" w:rsidR="007F2520" w:rsidRPr="007F2520" w:rsidRDefault="007F2520" w:rsidP="0089788C">
            <w:pPr>
              <w:rPr>
                <w:b/>
              </w:rPr>
            </w:pPr>
            <w:r w:rsidRPr="007F2520">
              <w:rPr>
                <w:b/>
              </w:rPr>
              <w:t>Version</w:t>
            </w:r>
          </w:p>
        </w:tc>
        <w:tc>
          <w:tcPr>
            <w:tcW w:w="1275" w:type="dxa"/>
          </w:tcPr>
          <w:p w14:paraId="4C6F7CE8" w14:textId="77777777" w:rsidR="007F2520" w:rsidRPr="007F2520" w:rsidRDefault="007F2520" w:rsidP="0089788C">
            <w:pPr>
              <w:rPr>
                <w:b/>
              </w:rPr>
            </w:pPr>
            <w:r w:rsidRPr="007F2520">
              <w:rPr>
                <w:b/>
              </w:rPr>
              <w:t>Date</w:t>
            </w:r>
          </w:p>
        </w:tc>
        <w:tc>
          <w:tcPr>
            <w:tcW w:w="8193" w:type="dxa"/>
          </w:tcPr>
          <w:p w14:paraId="6C179D61" w14:textId="77777777" w:rsidR="007F2520" w:rsidRPr="007F2520" w:rsidRDefault="007F2520" w:rsidP="0089788C">
            <w:pPr>
              <w:rPr>
                <w:b/>
              </w:rPr>
            </w:pPr>
            <w:r w:rsidRPr="007F2520">
              <w:rPr>
                <w:b/>
              </w:rPr>
              <w:t>Update</w:t>
            </w:r>
          </w:p>
        </w:tc>
      </w:tr>
      <w:tr w:rsidR="007F2520" w14:paraId="3C62895A" w14:textId="77777777" w:rsidTr="00520A09">
        <w:trPr>
          <w:trHeight w:val="605"/>
        </w:trPr>
        <w:tc>
          <w:tcPr>
            <w:tcW w:w="988" w:type="dxa"/>
          </w:tcPr>
          <w:p w14:paraId="7A60B0CC" w14:textId="492B8634" w:rsidR="007F2520" w:rsidRDefault="007F2520" w:rsidP="0089788C"/>
        </w:tc>
        <w:tc>
          <w:tcPr>
            <w:tcW w:w="1275" w:type="dxa"/>
          </w:tcPr>
          <w:p w14:paraId="6A6B83BC" w14:textId="6044C44C" w:rsidR="007F2520" w:rsidRDefault="007F2520" w:rsidP="0089788C"/>
        </w:tc>
        <w:tc>
          <w:tcPr>
            <w:tcW w:w="8193" w:type="dxa"/>
          </w:tcPr>
          <w:p w14:paraId="39A9A66D" w14:textId="08FCAB50" w:rsidR="007F2520" w:rsidRDefault="007F2520" w:rsidP="0089788C"/>
        </w:tc>
      </w:tr>
    </w:tbl>
    <w:p w14:paraId="2B3C0ECC" w14:textId="77777777" w:rsidR="00B77E4D" w:rsidRPr="00B77E4D" w:rsidRDefault="00B77E4D" w:rsidP="0089788C"/>
    <w:sectPr w:rsidR="00B77E4D" w:rsidRPr="00B77E4D" w:rsidSect="000D5913">
      <w:headerReference w:type="default" r:id="rId12"/>
      <w:footerReference w:type="default" r:id="rId13"/>
      <w:pgSz w:w="11906" w:h="16838"/>
      <w:pgMar w:top="1248" w:right="720" w:bottom="720" w:left="720" w:header="709" w:footer="709" w:gutter="0"/>
      <w:pgNumType w:start="5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AF506" w14:textId="77777777" w:rsidR="00123835" w:rsidRDefault="00123835" w:rsidP="00A22611">
      <w:pPr>
        <w:spacing w:after="0" w:line="240" w:lineRule="auto"/>
      </w:pPr>
      <w:r>
        <w:separator/>
      </w:r>
    </w:p>
  </w:endnote>
  <w:endnote w:type="continuationSeparator" w:id="0">
    <w:p w14:paraId="4FB8E34F" w14:textId="77777777" w:rsidR="00123835" w:rsidRDefault="00123835" w:rsidP="00A22611">
      <w:pPr>
        <w:spacing w:after="0" w:line="240" w:lineRule="auto"/>
      </w:pPr>
      <w:r>
        <w:continuationSeparator/>
      </w:r>
    </w:p>
  </w:endnote>
  <w:endnote w:type="continuationNotice" w:id="1">
    <w:p w14:paraId="139B780E" w14:textId="77777777" w:rsidR="00123835" w:rsidRDefault="001238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02027" w14:textId="77777777" w:rsidR="00261EB2" w:rsidRDefault="00261EB2">
    <w:pPr>
      <w:pStyle w:val="Footer"/>
      <w:jc w:val="right"/>
    </w:pPr>
  </w:p>
  <w:p w14:paraId="200E474B" w14:textId="77777777" w:rsidR="00A10F0E" w:rsidRDefault="00A10F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9133C" w14:textId="77777777" w:rsidR="00123835" w:rsidRDefault="00123835" w:rsidP="00A22611">
      <w:pPr>
        <w:spacing w:after="0" w:line="240" w:lineRule="auto"/>
      </w:pPr>
      <w:r>
        <w:separator/>
      </w:r>
    </w:p>
  </w:footnote>
  <w:footnote w:type="continuationSeparator" w:id="0">
    <w:p w14:paraId="181B40B2" w14:textId="77777777" w:rsidR="00123835" w:rsidRDefault="00123835" w:rsidP="00A22611">
      <w:pPr>
        <w:spacing w:after="0" w:line="240" w:lineRule="auto"/>
      </w:pPr>
      <w:r>
        <w:continuationSeparator/>
      </w:r>
    </w:p>
  </w:footnote>
  <w:footnote w:type="continuationNotice" w:id="1">
    <w:p w14:paraId="1CC0F131" w14:textId="77777777" w:rsidR="00123835" w:rsidRDefault="001238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5C0B6" w14:textId="77777777" w:rsidR="00A10F0E" w:rsidRDefault="00A10F0E" w:rsidP="00A10F0E">
    <w:pPr>
      <w:pStyle w:val="Header"/>
      <w:jc w:val="center"/>
    </w:pPr>
  </w:p>
  <w:p w14:paraId="4BAEB21A" w14:textId="77777777" w:rsidR="00A10F0E" w:rsidRDefault="00A10F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pt;height:9pt" o:bullet="t">
        <v:imagedata r:id="rId1" o:title="art8F36"/>
      </v:shape>
    </w:pict>
  </w:numPicBullet>
  <w:abstractNum w:abstractNumId="0" w15:restartNumberingAfterBreak="0">
    <w:nsid w:val="04A60903"/>
    <w:multiLevelType w:val="hybridMultilevel"/>
    <w:tmpl w:val="B6E853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369FF"/>
    <w:multiLevelType w:val="hybridMultilevel"/>
    <w:tmpl w:val="5C4C5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978CC"/>
    <w:multiLevelType w:val="multilevel"/>
    <w:tmpl w:val="D58E349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" w15:restartNumberingAfterBreak="0">
    <w:nsid w:val="0A3C3F12"/>
    <w:multiLevelType w:val="multilevel"/>
    <w:tmpl w:val="CFB27B7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 w15:restartNumberingAfterBreak="0">
    <w:nsid w:val="0C8E50FE"/>
    <w:multiLevelType w:val="multilevel"/>
    <w:tmpl w:val="F3D49FB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5" w15:restartNumberingAfterBreak="0">
    <w:nsid w:val="0E156405"/>
    <w:multiLevelType w:val="multilevel"/>
    <w:tmpl w:val="5468A310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  <w:i w:val="0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7DD3D46"/>
    <w:multiLevelType w:val="hybridMultilevel"/>
    <w:tmpl w:val="5AA615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466437"/>
    <w:multiLevelType w:val="hybridMultilevel"/>
    <w:tmpl w:val="9C34182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685A4D"/>
    <w:multiLevelType w:val="hybridMultilevel"/>
    <w:tmpl w:val="1AD829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5E280B"/>
    <w:multiLevelType w:val="hybridMultilevel"/>
    <w:tmpl w:val="E0744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0F2DA7"/>
    <w:multiLevelType w:val="hybridMultilevel"/>
    <w:tmpl w:val="4ED236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884DF0"/>
    <w:multiLevelType w:val="multilevel"/>
    <w:tmpl w:val="827A1A8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28EA54A4"/>
    <w:multiLevelType w:val="hybridMultilevel"/>
    <w:tmpl w:val="C6880D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21795C"/>
    <w:multiLevelType w:val="hybridMultilevel"/>
    <w:tmpl w:val="1FF08B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495147"/>
    <w:multiLevelType w:val="multilevel"/>
    <w:tmpl w:val="ADF4024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5" w15:restartNumberingAfterBreak="0">
    <w:nsid w:val="2FCF473A"/>
    <w:multiLevelType w:val="hybridMultilevel"/>
    <w:tmpl w:val="97588E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261017"/>
    <w:multiLevelType w:val="hybridMultilevel"/>
    <w:tmpl w:val="D65E65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9C4256"/>
    <w:multiLevelType w:val="multilevel"/>
    <w:tmpl w:val="52226EF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8" w15:restartNumberingAfterBreak="0">
    <w:nsid w:val="337C576E"/>
    <w:multiLevelType w:val="multilevel"/>
    <w:tmpl w:val="FE1881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5276084"/>
    <w:multiLevelType w:val="multilevel"/>
    <w:tmpl w:val="C200F16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53D1496"/>
    <w:multiLevelType w:val="multilevel"/>
    <w:tmpl w:val="E8E8D11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1" w15:restartNumberingAfterBreak="0">
    <w:nsid w:val="376F6A4B"/>
    <w:multiLevelType w:val="hybridMultilevel"/>
    <w:tmpl w:val="37F62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65026E"/>
    <w:multiLevelType w:val="multilevel"/>
    <w:tmpl w:val="A9769AE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3" w15:restartNumberingAfterBreak="0">
    <w:nsid w:val="3FF61008"/>
    <w:multiLevelType w:val="hybridMultilevel"/>
    <w:tmpl w:val="69E4C1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AA4755"/>
    <w:multiLevelType w:val="hybridMultilevel"/>
    <w:tmpl w:val="BD1C7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884842"/>
    <w:multiLevelType w:val="hybridMultilevel"/>
    <w:tmpl w:val="93B646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4503C8"/>
    <w:multiLevelType w:val="hybridMultilevel"/>
    <w:tmpl w:val="8C749F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BA77EB"/>
    <w:multiLevelType w:val="hybridMultilevel"/>
    <w:tmpl w:val="68FE45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8950CA"/>
    <w:multiLevelType w:val="hybridMultilevel"/>
    <w:tmpl w:val="3B126A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3311A0"/>
    <w:multiLevelType w:val="multilevel"/>
    <w:tmpl w:val="ACE66B6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7397015"/>
    <w:multiLevelType w:val="multilevel"/>
    <w:tmpl w:val="6762B3A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1" w15:restartNumberingAfterBreak="0">
    <w:nsid w:val="597823C5"/>
    <w:multiLevelType w:val="hybridMultilevel"/>
    <w:tmpl w:val="D242A5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081437"/>
    <w:multiLevelType w:val="hybridMultilevel"/>
    <w:tmpl w:val="60145E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095C94"/>
    <w:multiLevelType w:val="hybridMultilevel"/>
    <w:tmpl w:val="A5B48C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0C4EFF"/>
    <w:multiLevelType w:val="multilevel"/>
    <w:tmpl w:val="AF80330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5" w15:restartNumberingAfterBreak="0">
    <w:nsid w:val="61390424"/>
    <w:multiLevelType w:val="multilevel"/>
    <w:tmpl w:val="1F8C882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6" w15:restartNumberingAfterBreak="0">
    <w:nsid w:val="61607CED"/>
    <w:multiLevelType w:val="hybridMultilevel"/>
    <w:tmpl w:val="D7E4DE2C"/>
    <w:lvl w:ilvl="0" w:tplc="08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7" w15:restartNumberingAfterBreak="0">
    <w:nsid w:val="63951429"/>
    <w:multiLevelType w:val="multilevel"/>
    <w:tmpl w:val="55E0F87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8" w15:restartNumberingAfterBreak="0">
    <w:nsid w:val="655C53FD"/>
    <w:multiLevelType w:val="hybridMultilevel"/>
    <w:tmpl w:val="A28EA2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F9181A"/>
    <w:multiLevelType w:val="hybridMultilevel"/>
    <w:tmpl w:val="A2BCA5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0B7F75"/>
    <w:multiLevelType w:val="hybridMultilevel"/>
    <w:tmpl w:val="E6F4B3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A20496"/>
    <w:multiLevelType w:val="multilevel"/>
    <w:tmpl w:val="5538D8A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6F927468"/>
    <w:multiLevelType w:val="hybridMultilevel"/>
    <w:tmpl w:val="3A22BA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6105C1"/>
    <w:multiLevelType w:val="hybridMultilevel"/>
    <w:tmpl w:val="D5B892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8E0C85"/>
    <w:multiLevelType w:val="multilevel"/>
    <w:tmpl w:val="F3B88DA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5" w15:restartNumberingAfterBreak="0">
    <w:nsid w:val="72C7069F"/>
    <w:multiLevelType w:val="hybridMultilevel"/>
    <w:tmpl w:val="5B3A4D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732DE9"/>
    <w:multiLevelType w:val="hybridMultilevel"/>
    <w:tmpl w:val="0FCE9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7636C7"/>
    <w:multiLevelType w:val="hybridMultilevel"/>
    <w:tmpl w:val="BA2CAB7C"/>
    <w:lvl w:ilvl="0" w:tplc="10609580">
      <w:start w:val="1"/>
      <w:numFmt w:val="lowerLetter"/>
      <w:pStyle w:val="Heading2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6579232">
    <w:abstractNumId w:val="27"/>
  </w:num>
  <w:num w:numId="2" w16cid:durableId="1729499881">
    <w:abstractNumId w:val="24"/>
  </w:num>
  <w:num w:numId="3" w16cid:durableId="1842160272">
    <w:abstractNumId w:val="39"/>
  </w:num>
  <w:num w:numId="4" w16cid:durableId="898326024">
    <w:abstractNumId w:val="16"/>
  </w:num>
  <w:num w:numId="5" w16cid:durableId="1841194439">
    <w:abstractNumId w:val="28"/>
  </w:num>
  <w:num w:numId="6" w16cid:durableId="1982230361">
    <w:abstractNumId w:val="31"/>
  </w:num>
  <w:num w:numId="7" w16cid:durableId="66657650">
    <w:abstractNumId w:val="46"/>
  </w:num>
  <w:num w:numId="8" w16cid:durableId="1388727178">
    <w:abstractNumId w:val="33"/>
  </w:num>
  <w:num w:numId="9" w16cid:durableId="297613427">
    <w:abstractNumId w:val="18"/>
  </w:num>
  <w:num w:numId="10" w16cid:durableId="1361979234">
    <w:abstractNumId w:val="34"/>
  </w:num>
  <w:num w:numId="11" w16cid:durableId="939139759">
    <w:abstractNumId w:val="19"/>
  </w:num>
  <w:num w:numId="12" w16cid:durableId="2064670027">
    <w:abstractNumId w:val="41"/>
  </w:num>
  <w:num w:numId="13" w16cid:durableId="1767923733">
    <w:abstractNumId w:val="29"/>
  </w:num>
  <w:num w:numId="14" w16cid:durableId="850264473">
    <w:abstractNumId w:val="44"/>
  </w:num>
  <w:num w:numId="15" w16cid:durableId="1013535460">
    <w:abstractNumId w:val="7"/>
  </w:num>
  <w:num w:numId="16" w16cid:durableId="1065880973">
    <w:abstractNumId w:val="4"/>
  </w:num>
  <w:num w:numId="17" w16cid:durableId="2020964591">
    <w:abstractNumId w:val="3"/>
  </w:num>
  <w:num w:numId="18" w16cid:durableId="1191869520">
    <w:abstractNumId w:val="11"/>
  </w:num>
  <w:num w:numId="19" w16cid:durableId="2127774624">
    <w:abstractNumId w:val="20"/>
  </w:num>
  <w:num w:numId="20" w16cid:durableId="1081634742">
    <w:abstractNumId w:val="1"/>
  </w:num>
  <w:num w:numId="21" w16cid:durableId="1996909804">
    <w:abstractNumId w:val="30"/>
  </w:num>
  <w:num w:numId="22" w16cid:durableId="1462184771">
    <w:abstractNumId w:val="14"/>
  </w:num>
  <w:num w:numId="23" w16cid:durableId="946158236">
    <w:abstractNumId w:val="22"/>
  </w:num>
  <w:num w:numId="24" w16cid:durableId="1002507335">
    <w:abstractNumId w:val="35"/>
  </w:num>
  <w:num w:numId="25" w16cid:durableId="177739262">
    <w:abstractNumId w:val="6"/>
  </w:num>
  <w:num w:numId="26" w16cid:durableId="1948925671">
    <w:abstractNumId w:val="40"/>
  </w:num>
  <w:num w:numId="27" w16cid:durableId="1534154646">
    <w:abstractNumId w:val="2"/>
  </w:num>
  <w:num w:numId="28" w16cid:durableId="1645965022">
    <w:abstractNumId w:val="17"/>
  </w:num>
  <w:num w:numId="29" w16cid:durableId="229778997">
    <w:abstractNumId w:val="37"/>
  </w:num>
  <w:num w:numId="30" w16cid:durableId="1157575514">
    <w:abstractNumId w:val="21"/>
  </w:num>
  <w:num w:numId="31" w16cid:durableId="1708993855">
    <w:abstractNumId w:val="12"/>
  </w:num>
  <w:num w:numId="32" w16cid:durableId="1072853380">
    <w:abstractNumId w:val="23"/>
  </w:num>
  <w:num w:numId="33" w16cid:durableId="2035885064">
    <w:abstractNumId w:val="45"/>
  </w:num>
  <w:num w:numId="34" w16cid:durableId="355543667">
    <w:abstractNumId w:val="43"/>
  </w:num>
  <w:num w:numId="35" w16cid:durableId="958071226">
    <w:abstractNumId w:val="42"/>
  </w:num>
  <w:num w:numId="36" w16cid:durableId="1060710308">
    <w:abstractNumId w:val="26"/>
  </w:num>
  <w:num w:numId="37" w16cid:durableId="280384210">
    <w:abstractNumId w:val="32"/>
  </w:num>
  <w:num w:numId="38" w16cid:durableId="1898584299">
    <w:abstractNumId w:val="10"/>
  </w:num>
  <w:num w:numId="39" w16cid:durableId="1043597738">
    <w:abstractNumId w:val="13"/>
  </w:num>
  <w:num w:numId="40" w16cid:durableId="1016272615">
    <w:abstractNumId w:val="0"/>
  </w:num>
  <w:num w:numId="41" w16cid:durableId="683021358">
    <w:abstractNumId w:val="9"/>
  </w:num>
  <w:num w:numId="42" w16cid:durableId="584730776">
    <w:abstractNumId w:val="8"/>
  </w:num>
  <w:num w:numId="43" w16cid:durableId="1889296830">
    <w:abstractNumId w:val="15"/>
  </w:num>
  <w:num w:numId="44" w16cid:durableId="190073305">
    <w:abstractNumId w:val="38"/>
  </w:num>
  <w:num w:numId="45" w16cid:durableId="2079284874">
    <w:abstractNumId w:val="25"/>
  </w:num>
  <w:num w:numId="46" w16cid:durableId="1998151149">
    <w:abstractNumId w:val="5"/>
  </w:num>
  <w:num w:numId="47" w16cid:durableId="1278639088">
    <w:abstractNumId w:val="47"/>
  </w:num>
  <w:num w:numId="48" w16cid:durableId="322320996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00D"/>
    <w:rsid w:val="00003A92"/>
    <w:rsid w:val="00014E27"/>
    <w:rsid w:val="00064321"/>
    <w:rsid w:val="0008139C"/>
    <w:rsid w:val="000835B2"/>
    <w:rsid w:val="00084A9D"/>
    <w:rsid w:val="000A1853"/>
    <w:rsid w:val="000B4229"/>
    <w:rsid w:val="000D5913"/>
    <w:rsid w:val="000E00AC"/>
    <w:rsid w:val="000F06F7"/>
    <w:rsid w:val="000F7571"/>
    <w:rsid w:val="0010395C"/>
    <w:rsid w:val="00104B56"/>
    <w:rsid w:val="00106BB8"/>
    <w:rsid w:val="00116FF8"/>
    <w:rsid w:val="00123835"/>
    <w:rsid w:val="00125115"/>
    <w:rsid w:val="00135B22"/>
    <w:rsid w:val="0013624C"/>
    <w:rsid w:val="00152127"/>
    <w:rsid w:val="0016187D"/>
    <w:rsid w:val="00174D36"/>
    <w:rsid w:val="0018033B"/>
    <w:rsid w:val="00182C8D"/>
    <w:rsid w:val="00190384"/>
    <w:rsid w:val="001D6A20"/>
    <w:rsid w:val="001D7CED"/>
    <w:rsid w:val="001E28E7"/>
    <w:rsid w:val="002009F8"/>
    <w:rsid w:val="00200D67"/>
    <w:rsid w:val="002076F8"/>
    <w:rsid w:val="0021721B"/>
    <w:rsid w:val="00225D1E"/>
    <w:rsid w:val="00261EB2"/>
    <w:rsid w:val="00294155"/>
    <w:rsid w:val="002B1F16"/>
    <w:rsid w:val="002B4F68"/>
    <w:rsid w:val="002C4627"/>
    <w:rsid w:val="002C5055"/>
    <w:rsid w:val="002C5A90"/>
    <w:rsid w:val="002E4352"/>
    <w:rsid w:val="0031438F"/>
    <w:rsid w:val="003306FA"/>
    <w:rsid w:val="0033512A"/>
    <w:rsid w:val="00352535"/>
    <w:rsid w:val="00356E40"/>
    <w:rsid w:val="003640BD"/>
    <w:rsid w:val="0039342F"/>
    <w:rsid w:val="003959D2"/>
    <w:rsid w:val="00396EA9"/>
    <w:rsid w:val="003A7F16"/>
    <w:rsid w:val="003B2DAF"/>
    <w:rsid w:val="003C45B8"/>
    <w:rsid w:val="003D1E53"/>
    <w:rsid w:val="003F6CA2"/>
    <w:rsid w:val="00415544"/>
    <w:rsid w:val="00420EA5"/>
    <w:rsid w:val="0042608D"/>
    <w:rsid w:val="00426AB2"/>
    <w:rsid w:val="00427313"/>
    <w:rsid w:val="004408FA"/>
    <w:rsid w:val="0044212A"/>
    <w:rsid w:val="00444B70"/>
    <w:rsid w:val="004475EF"/>
    <w:rsid w:val="004560A5"/>
    <w:rsid w:val="00485B24"/>
    <w:rsid w:val="004867C6"/>
    <w:rsid w:val="00492D49"/>
    <w:rsid w:val="004A7B26"/>
    <w:rsid w:val="004B0AFD"/>
    <w:rsid w:val="004D3FC3"/>
    <w:rsid w:val="004D58AB"/>
    <w:rsid w:val="004D7D0E"/>
    <w:rsid w:val="004E5D83"/>
    <w:rsid w:val="004F11BB"/>
    <w:rsid w:val="004F1F3F"/>
    <w:rsid w:val="004F38DE"/>
    <w:rsid w:val="005117E1"/>
    <w:rsid w:val="00520A09"/>
    <w:rsid w:val="00525982"/>
    <w:rsid w:val="00544BE8"/>
    <w:rsid w:val="00563DC1"/>
    <w:rsid w:val="005669F7"/>
    <w:rsid w:val="00573AFB"/>
    <w:rsid w:val="00596491"/>
    <w:rsid w:val="005D7971"/>
    <w:rsid w:val="005E5166"/>
    <w:rsid w:val="005E694B"/>
    <w:rsid w:val="005E6C41"/>
    <w:rsid w:val="006067F9"/>
    <w:rsid w:val="00620589"/>
    <w:rsid w:val="0062787D"/>
    <w:rsid w:val="00643B20"/>
    <w:rsid w:val="00650723"/>
    <w:rsid w:val="00664313"/>
    <w:rsid w:val="00674987"/>
    <w:rsid w:val="006756F3"/>
    <w:rsid w:val="006831AC"/>
    <w:rsid w:val="006B0B2C"/>
    <w:rsid w:val="006C3594"/>
    <w:rsid w:val="006C707B"/>
    <w:rsid w:val="006E08EF"/>
    <w:rsid w:val="0072477E"/>
    <w:rsid w:val="00772462"/>
    <w:rsid w:val="0077386B"/>
    <w:rsid w:val="00783921"/>
    <w:rsid w:val="007872EF"/>
    <w:rsid w:val="007965BC"/>
    <w:rsid w:val="007B3D2D"/>
    <w:rsid w:val="007C7E70"/>
    <w:rsid w:val="007F2520"/>
    <w:rsid w:val="00820A4C"/>
    <w:rsid w:val="00846B22"/>
    <w:rsid w:val="00863507"/>
    <w:rsid w:val="00895938"/>
    <w:rsid w:val="0089788C"/>
    <w:rsid w:val="008A5A52"/>
    <w:rsid w:val="008A7530"/>
    <w:rsid w:val="008C3EDA"/>
    <w:rsid w:val="008D304D"/>
    <w:rsid w:val="008E25A2"/>
    <w:rsid w:val="008F560B"/>
    <w:rsid w:val="008F5E38"/>
    <w:rsid w:val="00910E8D"/>
    <w:rsid w:val="00922BCC"/>
    <w:rsid w:val="009509E8"/>
    <w:rsid w:val="00955260"/>
    <w:rsid w:val="0098138C"/>
    <w:rsid w:val="009A12F4"/>
    <w:rsid w:val="009B0804"/>
    <w:rsid w:val="00A02EDF"/>
    <w:rsid w:val="00A10F0E"/>
    <w:rsid w:val="00A12C6E"/>
    <w:rsid w:val="00A13B4D"/>
    <w:rsid w:val="00A22611"/>
    <w:rsid w:val="00A2495D"/>
    <w:rsid w:val="00A56E29"/>
    <w:rsid w:val="00A634BE"/>
    <w:rsid w:val="00A72C12"/>
    <w:rsid w:val="00A74488"/>
    <w:rsid w:val="00A80DA1"/>
    <w:rsid w:val="00AB373A"/>
    <w:rsid w:val="00AB780A"/>
    <w:rsid w:val="00AC1DC6"/>
    <w:rsid w:val="00AD3750"/>
    <w:rsid w:val="00B05AA7"/>
    <w:rsid w:val="00B107A2"/>
    <w:rsid w:val="00B300F9"/>
    <w:rsid w:val="00B32791"/>
    <w:rsid w:val="00B379C0"/>
    <w:rsid w:val="00B45860"/>
    <w:rsid w:val="00B459E2"/>
    <w:rsid w:val="00B53781"/>
    <w:rsid w:val="00B5502C"/>
    <w:rsid w:val="00B77E4D"/>
    <w:rsid w:val="00B83345"/>
    <w:rsid w:val="00B83C00"/>
    <w:rsid w:val="00BC200D"/>
    <w:rsid w:val="00BE72D5"/>
    <w:rsid w:val="00BF17D5"/>
    <w:rsid w:val="00C16BF9"/>
    <w:rsid w:val="00C66142"/>
    <w:rsid w:val="00CA0E14"/>
    <w:rsid w:val="00CB5437"/>
    <w:rsid w:val="00CC1579"/>
    <w:rsid w:val="00CE4AD2"/>
    <w:rsid w:val="00CE7C37"/>
    <w:rsid w:val="00CF72B1"/>
    <w:rsid w:val="00D01512"/>
    <w:rsid w:val="00D22309"/>
    <w:rsid w:val="00D324F9"/>
    <w:rsid w:val="00D46A66"/>
    <w:rsid w:val="00D949B1"/>
    <w:rsid w:val="00DB220B"/>
    <w:rsid w:val="00DB74BC"/>
    <w:rsid w:val="00DE1E08"/>
    <w:rsid w:val="00E06420"/>
    <w:rsid w:val="00E21866"/>
    <w:rsid w:val="00E60203"/>
    <w:rsid w:val="00E70246"/>
    <w:rsid w:val="00E8369B"/>
    <w:rsid w:val="00E86FE5"/>
    <w:rsid w:val="00E978C6"/>
    <w:rsid w:val="00EC12CF"/>
    <w:rsid w:val="00EE2020"/>
    <w:rsid w:val="00EF3E4B"/>
    <w:rsid w:val="00F00B89"/>
    <w:rsid w:val="00F036EE"/>
    <w:rsid w:val="00F0508F"/>
    <w:rsid w:val="00F44590"/>
    <w:rsid w:val="00F65C6F"/>
    <w:rsid w:val="00F77FB0"/>
    <w:rsid w:val="00F968E6"/>
    <w:rsid w:val="00FB79BF"/>
    <w:rsid w:val="00FC34C0"/>
    <w:rsid w:val="00FC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6BC290"/>
  <w15:docId w15:val="{5914380A-0A69-4CDF-815D-9FA8FA073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67C6"/>
    <w:rPr>
      <w:rFonts w:ascii="Arial" w:hAnsi="Arial"/>
      <w:color w:val="0073CF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5E38"/>
    <w:pPr>
      <w:numPr>
        <w:numId w:val="46"/>
      </w:numPr>
      <w:spacing w:before="480" w:after="0"/>
      <w:contextualSpacing/>
      <w:outlineLvl w:val="0"/>
    </w:pPr>
    <w:rPr>
      <w:rFonts w:asciiTheme="majorHAnsi" w:eastAsiaTheme="majorEastAsia" w:hAnsiTheme="majorHAnsi" w:cstheme="majorBidi"/>
      <w:bCs/>
      <w:color w:val="652D86" w:themeColor="text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5D83"/>
    <w:pPr>
      <w:numPr>
        <w:numId w:val="47"/>
      </w:numPr>
      <w:spacing w:before="200" w:after="0"/>
      <w:outlineLvl w:val="1"/>
    </w:pPr>
    <w:rPr>
      <w:rFonts w:asciiTheme="majorHAnsi" w:eastAsiaTheme="majorEastAsia" w:hAnsiTheme="majorHAnsi" w:cstheme="majorBidi"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4212A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E6C41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6C41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66BAF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6C41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66BAF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6C41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6C41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6C41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A22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61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226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2611"/>
  </w:style>
  <w:style w:type="paragraph" w:styleId="Footer">
    <w:name w:val="footer"/>
    <w:basedOn w:val="Normal"/>
    <w:link w:val="FooterChar"/>
    <w:uiPriority w:val="99"/>
    <w:unhideWhenUsed/>
    <w:rsid w:val="00A226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2611"/>
  </w:style>
  <w:style w:type="table" w:styleId="TableGrid">
    <w:name w:val="Table Grid"/>
    <w:basedOn w:val="TableNormal"/>
    <w:uiPriority w:val="59"/>
    <w:rsid w:val="00A22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F5E38"/>
    <w:pPr>
      <w:contextualSpacing/>
    </w:pPr>
  </w:style>
  <w:style w:type="character" w:styleId="PlaceholderText">
    <w:name w:val="Placeholder Text"/>
    <w:basedOn w:val="DefaultParagraphFont"/>
    <w:uiPriority w:val="99"/>
    <w:semiHidden/>
    <w:rsid w:val="00A80DA1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8F5E38"/>
    <w:rPr>
      <w:rFonts w:asciiTheme="majorHAnsi" w:eastAsiaTheme="majorEastAsia" w:hAnsiTheme="majorHAnsi" w:cstheme="majorBidi"/>
      <w:bCs/>
      <w:color w:val="652D86" w:themeColor="text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4212A"/>
    <w:rPr>
      <w:rFonts w:asciiTheme="majorHAnsi" w:eastAsiaTheme="majorEastAsia" w:hAnsiTheme="majorHAnsi" w:cstheme="majorBidi"/>
      <w:bCs/>
      <w:color w:val="0073CF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4212A"/>
    <w:rPr>
      <w:rFonts w:asciiTheme="majorHAnsi" w:eastAsiaTheme="majorEastAsia" w:hAnsiTheme="majorHAnsi" w:cstheme="majorBidi"/>
      <w:bCs/>
      <w:color w:val="0073CF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5E6C4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6C41"/>
    <w:rPr>
      <w:rFonts w:asciiTheme="majorHAnsi" w:eastAsiaTheme="majorEastAsia" w:hAnsiTheme="majorHAnsi" w:cstheme="majorBidi"/>
      <w:b/>
      <w:bCs/>
      <w:color w:val="66BAF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6C41"/>
    <w:rPr>
      <w:rFonts w:asciiTheme="majorHAnsi" w:eastAsiaTheme="majorEastAsia" w:hAnsiTheme="majorHAnsi" w:cstheme="majorBidi"/>
      <w:b/>
      <w:bCs/>
      <w:i/>
      <w:iCs/>
      <w:color w:val="66BAF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6C41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6C41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6C4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12C6E"/>
    <w:pPr>
      <w:spacing w:line="240" w:lineRule="auto"/>
      <w:contextualSpacing/>
    </w:pPr>
    <w:rPr>
      <w:rFonts w:asciiTheme="majorHAnsi" w:eastAsiaTheme="majorEastAsia" w:hAnsiTheme="majorHAnsi" w:cstheme="majorBidi"/>
      <w:spacing w:val="5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12C6E"/>
    <w:rPr>
      <w:rFonts w:asciiTheme="majorHAnsi" w:eastAsiaTheme="majorEastAsia" w:hAnsiTheme="majorHAnsi" w:cstheme="majorBidi"/>
      <w:color w:val="0073CF" w:themeColor="text1"/>
      <w:spacing w:val="5"/>
      <w:sz w:val="40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6C41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E6C4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5E6C41"/>
    <w:rPr>
      <w:b/>
      <w:bCs/>
    </w:rPr>
  </w:style>
  <w:style w:type="character" w:styleId="Emphasis">
    <w:name w:val="Emphasis"/>
    <w:uiPriority w:val="20"/>
    <w:qFormat/>
    <w:rsid w:val="005E6C4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5E6C4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E6C41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E6C4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6C4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6C41"/>
    <w:rPr>
      <w:b/>
      <w:bCs/>
      <w:i/>
      <w:iCs/>
    </w:rPr>
  </w:style>
  <w:style w:type="character" w:styleId="SubtleEmphasis">
    <w:name w:val="Subtle Emphasis"/>
    <w:uiPriority w:val="19"/>
    <w:qFormat/>
    <w:rsid w:val="005E6C41"/>
    <w:rPr>
      <w:i/>
      <w:iCs/>
    </w:rPr>
  </w:style>
  <w:style w:type="character" w:styleId="IntenseEmphasis">
    <w:name w:val="Intense Emphasis"/>
    <w:uiPriority w:val="21"/>
    <w:qFormat/>
    <w:rsid w:val="005E6C41"/>
    <w:rPr>
      <w:b/>
      <w:bCs/>
    </w:rPr>
  </w:style>
  <w:style w:type="character" w:styleId="SubtleReference">
    <w:name w:val="Subtle Reference"/>
    <w:uiPriority w:val="31"/>
    <w:qFormat/>
    <w:rsid w:val="005E6C41"/>
    <w:rPr>
      <w:smallCaps/>
    </w:rPr>
  </w:style>
  <w:style w:type="character" w:styleId="IntenseReference">
    <w:name w:val="Intense Reference"/>
    <w:uiPriority w:val="32"/>
    <w:qFormat/>
    <w:rsid w:val="005E6C41"/>
    <w:rPr>
      <w:smallCaps/>
      <w:spacing w:val="5"/>
      <w:u w:val="single"/>
    </w:rPr>
  </w:style>
  <w:style w:type="character" w:styleId="BookTitle">
    <w:name w:val="Book Title"/>
    <w:uiPriority w:val="33"/>
    <w:qFormat/>
    <w:rsid w:val="005E6C4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5E6C41"/>
    <w:pPr>
      <w:outlineLvl w:val="9"/>
    </w:pPr>
    <w:rPr>
      <w:lang w:bidi="en-US"/>
    </w:rPr>
  </w:style>
  <w:style w:type="paragraph" w:styleId="TOC1">
    <w:name w:val="toc 1"/>
    <w:basedOn w:val="Normal"/>
    <w:next w:val="Normal"/>
    <w:autoRedefine/>
    <w:uiPriority w:val="39"/>
    <w:unhideWhenUsed/>
    <w:rsid w:val="00A12C6E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A12C6E"/>
    <w:rPr>
      <w:color w:val="0000FF" w:themeColor="hyperlink"/>
      <w:u w:val="single"/>
    </w:rPr>
  </w:style>
  <w:style w:type="table" w:customStyle="1" w:styleId="Arches">
    <w:name w:val="Arches"/>
    <w:basedOn w:val="TableGridLight"/>
    <w:uiPriority w:val="99"/>
    <w:rsid w:val="00190384"/>
    <w:tblPr>
      <w:tblStyleRowBandSize w:val="1"/>
    </w:tblPr>
    <w:tblStylePr w:type="firstRow">
      <w:pPr>
        <w:jc w:val="center"/>
      </w:pPr>
      <w:rPr>
        <w:rFonts w:asciiTheme="majorHAnsi" w:hAnsiTheme="majorHAnsi"/>
        <w:b/>
        <w:color w:val="FFFFFF" w:themeColor="background1"/>
      </w:rPr>
      <w:tblPr/>
      <w:tcPr>
        <w:shd w:val="clear" w:color="auto" w:fill="0073CF" w:themeFill="text1"/>
        <w:vAlign w:val="center"/>
      </w:tcPr>
    </w:tblStylePr>
    <w:tblStylePr w:type="lastRow">
      <w:pPr>
        <w:jc w:val="center"/>
      </w:pPr>
      <w:rPr>
        <w:color w:val="FFFFFF" w:themeColor="background1"/>
      </w:rPr>
      <w:tblPr/>
      <w:tcPr>
        <w:shd w:val="clear" w:color="auto" w:fill="0073CF" w:themeFill="text1"/>
        <w:vAlign w:val="center"/>
      </w:tcPr>
    </w:tblStylePr>
    <w:tblStylePr w:type="band2Horz">
      <w:tblPr/>
      <w:tcPr>
        <w:shd w:val="clear" w:color="auto" w:fill="ECECEC" w:themeFill="accent1" w:themeFillTint="33"/>
      </w:tcPr>
    </w:tblStylePr>
  </w:style>
  <w:style w:type="table" w:styleId="TableGridLight">
    <w:name w:val="Grid Table Light"/>
    <w:basedOn w:val="TableNormal"/>
    <w:uiPriority w:val="40"/>
    <w:rsid w:val="0019038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2">
    <w:name w:val="toc 2"/>
    <w:basedOn w:val="Normal"/>
    <w:next w:val="Normal"/>
    <w:autoRedefine/>
    <w:uiPriority w:val="39"/>
    <w:unhideWhenUsed/>
    <w:rsid w:val="00A10F0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A10F0E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52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h\AppData\Local\Packages\Microsoft.MicrosoftEdge_8wekyb3d8bbwe\TempState\Downloads\Policy%20Template%20(5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8598593671A4FEC9C34219C17117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6AAEE5-C541-41CA-B1BD-87DE40D9A3ED}"/>
      </w:docPartPr>
      <w:docPartBody>
        <w:p w:rsidR="004F3844" w:rsidRDefault="00D47ABF">
          <w:pPr>
            <w:pStyle w:val="88598593671A4FEC9C34219C1711788F"/>
          </w:pPr>
          <w:r w:rsidRPr="00D25E43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ABF"/>
    <w:rsid w:val="00014E27"/>
    <w:rsid w:val="00053DB7"/>
    <w:rsid w:val="001A0117"/>
    <w:rsid w:val="002B1F16"/>
    <w:rsid w:val="003C4F7E"/>
    <w:rsid w:val="00427313"/>
    <w:rsid w:val="004F3844"/>
    <w:rsid w:val="006A60CD"/>
    <w:rsid w:val="008353DA"/>
    <w:rsid w:val="008F3CD3"/>
    <w:rsid w:val="00A10CC2"/>
    <w:rsid w:val="00A57214"/>
    <w:rsid w:val="00A82BE7"/>
    <w:rsid w:val="00BE4FD9"/>
    <w:rsid w:val="00D47ABF"/>
    <w:rsid w:val="00E978C6"/>
    <w:rsid w:val="00EF1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8598593671A4FEC9C34219C1711788F">
    <w:name w:val="88598593671A4FEC9C34219C171178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orporate">
      <a:dk1>
        <a:srgbClr val="0073CF"/>
      </a:dk1>
      <a:lt1>
        <a:srgbClr val="FFFFFF"/>
      </a:lt1>
      <a:dk2>
        <a:srgbClr val="652D86"/>
      </a:dk2>
      <a:lt2>
        <a:srgbClr val="34B233"/>
      </a:lt2>
      <a:accent1>
        <a:srgbClr val="A2A4A3"/>
      </a:accent1>
      <a:accent2>
        <a:srgbClr val="3E5D58"/>
      </a:accent2>
      <a:accent3>
        <a:srgbClr val="9BB5DF"/>
      </a:accent3>
      <a:accent4>
        <a:srgbClr val="EA5B13"/>
      </a:accent4>
      <a:accent5>
        <a:srgbClr val="D31A2B"/>
      </a:accent5>
      <a:accent6>
        <a:srgbClr val="F9AE00"/>
      </a:accent6>
      <a:hlink>
        <a:srgbClr val="0000FF"/>
      </a:hlink>
      <a:folHlink>
        <a:srgbClr val="800080"/>
      </a:folHlink>
    </a:clrScheme>
    <a:fontScheme name="Arches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b5f668-16a2-41d7-bfba-1e0fd43199be" xsi:nil="true"/>
    <lcf76f155ced4ddcb4097134ff3c332f xmlns="a13239f5-6ebb-44b4-acca-97afb35a535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4D17A6A8C72C47BEAC3506145DC246" ma:contentTypeVersion="15" ma:contentTypeDescription="Create a new document." ma:contentTypeScope="" ma:versionID="6e8ae0927df2a01ac40849931283cc72">
  <xsd:schema xmlns:xsd="http://www.w3.org/2001/XMLSchema" xmlns:xs="http://www.w3.org/2001/XMLSchema" xmlns:p="http://schemas.microsoft.com/office/2006/metadata/properties" xmlns:ns2="a13239f5-6ebb-44b4-acca-97afb35a5353" xmlns:ns3="ccb5f668-16a2-41d7-bfba-1e0fd43199be" targetNamespace="http://schemas.microsoft.com/office/2006/metadata/properties" ma:root="true" ma:fieldsID="0f8b518e8ab582e9ef488544bd7e0d0d" ns2:_="" ns3:_="">
    <xsd:import namespace="a13239f5-6ebb-44b4-acca-97afb35a5353"/>
    <xsd:import namespace="ccb5f668-16a2-41d7-bfba-1e0fd43199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3239f5-6ebb-44b4-acca-97afb35a53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eaec350-ce71-4557-8aca-23ea8c3103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b5f668-16a2-41d7-bfba-1e0fd431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b25ead9-740c-4e6c-bdd9-bc73ccba9438}" ma:internalName="TaxCatchAll" ma:showField="CatchAllData" ma:web="ccb5f668-16a2-41d7-bfba-1e0fd43199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BC07E-7420-4077-B6FA-D39FE6D43D3D}">
  <ds:schemaRefs>
    <ds:schemaRef ds:uri="http://schemas.microsoft.com/office/2006/metadata/properties"/>
    <ds:schemaRef ds:uri="http://schemas.microsoft.com/office/infopath/2007/PartnerControls"/>
    <ds:schemaRef ds:uri="ccb5f668-16a2-41d7-bfba-1e0fd43199be"/>
    <ds:schemaRef ds:uri="a13239f5-6ebb-44b4-acca-97afb35a5353"/>
  </ds:schemaRefs>
</ds:datastoreItem>
</file>

<file path=customXml/itemProps2.xml><?xml version="1.0" encoding="utf-8"?>
<ds:datastoreItem xmlns:ds="http://schemas.openxmlformats.org/officeDocument/2006/customXml" ds:itemID="{776C173E-3B44-4535-9697-0351EFAEBD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1FD522-0360-49DF-B3BC-2B10D8338F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3239f5-6ebb-44b4-acca-97afb35a5353"/>
    <ds:schemaRef ds:uri="ccb5f668-16a2-41d7-bfba-1e0fd431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C8838F-D69E-4546-B3D8-CFD61BB52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Policy Template (5)</Template>
  <TotalTime>1</TotalTime>
  <Pages>5</Pages>
  <Words>1654</Words>
  <Characters>5906</Characters>
  <Application>Microsoft Office Word</Application>
  <DocSecurity>0</DocSecurity>
  <Lines>738</Lines>
  <Paragraphs>581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Rent and Service Charge Policy</vt:lpstr>
    </vt:vector>
  </TitlesOfParts>
  <Company>Hewlett-Packard Company</Company>
  <LinksUpToDate>false</LinksUpToDate>
  <CharactersWithSpaces>6979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Rent and Service Charge Policy</dc:title>
  <dc:creator>John Hudson</dc:creator>
  <cp:lastModifiedBy>Kirsty Waller</cp:lastModifiedBy>
  <cp:revision>2</cp:revision>
  <cp:lastPrinted>2019-12-18T11:58:00Z</cp:lastPrinted>
  <dcterms:created xsi:type="dcterms:W3CDTF">2026-04-30T12:55:00Z</dcterms:created>
  <dcterms:modified xsi:type="dcterms:W3CDTF">2026-04-30T12:55:00Z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0x010100174D17A6A8C72C47BEAC3506145DC246</vt:lpwstr>
  </property>
  <property fmtid="{D5CDD505-2E9C-101B-9397-08002B2CF9AE}" pid="3" name="MediaServiceImageTags">
    <vt:lpwstr/>
  </property>
  <property fmtid="{D5CDD505-2E9C-101B-9397-08002B2CF9AE}" pid="4" name="MSIP_Label_9dd1f3e0-7c95-4883-9443-447aa2299930_Enabled">
    <vt:lpwstr>true</vt:lpwstr>
  </property>
  <property fmtid="{D5CDD505-2E9C-101B-9397-08002B2CF9AE}" pid="5" name="MSIP_Label_9dd1f3e0-7c95-4883-9443-447aa2299930_SetDate">
    <vt:lpwstr>2026-04-30T12:55:02Z</vt:lpwstr>
  </property>
  <property fmtid="{D5CDD505-2E9C-101B-9397-08002B2CF9AE}" pid="6" name="MSIP_Label_9dd1f3e0-7c95-4883-9443-447aa2299930_Method">
    <vt:lpwstr>Standard</vt:lpwstr>
  </property>
  <property fmtid="{D5CDD505-2E9C-101B-9397-08002B2CF9AE}" pid="7" name="MSIP_Label_9dd1f3e0-7c95-4883-9443-447aa2299930_Name">
    <vt:lpwstr>Internal</vt:lpwstr>
  </property>
  <property fmtid="{D5CDD505-2E9C-101B-9397-08002B2CF9AE}" pid="8" name="MSIP_Label_9dd1f3e0-7c95-4883-9443-447aa2299930_SiteId">
    <vt:lpwstr>ae98d4a1-74ae-4639-a9e5-440002ddb504</vt:lpwstr>
  </property>
  <property fmtid="{D5CDD505-2E9C-101B-9397-08002B2CF9AE}" pid="9" name="MSIP_Label_9dd1f3e0-7c95-4883-9443-447aa2299930_ActionId">
    <vt:lpwstr>bba798f3-1a6e-449e-9fb4-17499bc7c89e</vt:lpwstr>
  </property>
  <property fmtid="{D5CDD505-2E9C-101B-9397-08002B2CF9AE}" pid="10" name="MSIP_Label_9dd1f3e0-7c95-4883-9443-447aa2299930_ContentBits">
    <vt:lpwstr>0</vt:lpwstr>
  </property>
  <property fmtid="{D5CDD505-2E9C-101B-9397-08002B2CF9AE}" pid="11" name="MSIP_Label_9dd1f3e0-7c95-4883-9443-447aa2299930_Tag">
    <vt:lpwstr>10, 3, 0, 1</vt:lpwstr>
  </property>
</Properties>
</file>