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97049" w14:textId="77777777" w:rsidR="00CE2683" w:rsidRDefault="00CE2683" w:rsidP="00CE2683">
      <w:bookmarkStart w:id="0" w:name="_GoBack"/>
      <w:bookmarkEnd w:id="0"/>
    </w:p>
    <w:p w14:paraId="1F95957C" w14:textId="77777777" w:rsidR="00CE2683" w:rsidRPr="00CE2683" w:rsidRDefault="00CE2683" w:rsidP="00555DE7">
      <w:pPr>
        <w:jc w:val="right"/>
        <w:rPr>
          <w:sz w:val="60"/>
          <w:szCs w:val="60"/>
        </w:rPr>
      </w:pPr>
      <w:r>
        <w:t xml:space="preserve"> </w:t>
      </w:r>
      <w:r w:rsidRPr="00CE2683">
        <w:rPr>
          <w:sz w:val="60"/>
          <w:szCs w:val="60"/>
        </w:rPr>
        <w:t xml:space="preserve"> </w:t>
      </w:r>
      <w:r w:rsidR="002526AC">
        <w:rPr>
          <w:noProof/>
          <w:sz w:val="60"/>
          <w:szCs w:val="60"/>
          <w:lang w:eastAsia="en-GB"/>
        </w:rPr>
        <w:drawing>
          <wp:inline distT="0" distB="0" distL="0" distR="0" wp14:anchorId="124667AB" wp14:editId="0686DA4F">
            <wp:extent cx="3072390" cy="6096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shousing_logo png fi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90" cy="6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7E5A" w14:textId="77777777" w:rsidR="00CE2683" w:rsidRDefault="00CE2683" w:rsidP="00CE2683">
      <w:pPr>
        <w:jc w:val="center"/>
        <w:rPr>
          <w:sz w:val="60"/>
          <w:szCs w:val="60"/>
        </w:rPr>
      </w:pPr>
    </w:p>
    <w:p w14:paraId="03C02767" w14:textId="77777777" w:rsidR="00CE2683" w:rsidRDefault="00CE2683" w:rsidP="00CE2683">
      <w:pPr>
        <w:jc w:val="center"/>
        <w:rPr>
          <w:sz w:val="60"/>
          <w:szCs w:val="60"/>
        </w:rPr>
      </w:pPr>
    </w:p>
    <w:p w14:paraId="7DB452B0" w14:textId="77777777" w:rsidR="002526AC" w:rsidRDefault="002526AC" w:rsidP="00CE2683">
      <w:pPr>
        <w:jc w:val="center"/>
        <w:rPr>
          <w:sz w:val="60"/>
          <w:szCs w:val="60"/>
        </w:rPr>
      </w:pPr>
    </w:p>
    <w:p w14:paraId="2249E73D" w14:textId="30FBA54E" w:rsidR="00A17653" w:rsidRDefault="003A741B" w:rsidP="00E71639">
      <w:pPr>
        <w:jc w:val="center"/>
        <w:rPr>
          <w:rFonts w:ascii="Century Gothic" w:hAnsi="Century Gothic"/>
          <w:color w:val="0072CE"/>
          <w:sz w:val="60"/>
          <w:szCs w:val="60"/>
        </w:rPr>
      </w:pPr>
      <w:r>
        <w:rPr>
          <w:rFonts w:ascii="Century Gothic" w:hAnsi="Century Gothic"/>
          <w:color w:val="0072CE"/>
          <w:sz w:val="60"/>
          <w:szCs w:val="60"/>
        </w:rPr>
        <w:t>Discretionary Succession</w:t>
      </w:r>
    </w:p>
    <w:p w14:paraId="09D51397" w14:textId="38BF69C8" w:rsidR="00CE2683" w:rsidRPr="00555DE7" w:rsidRDefault="00A17653" w:rsidP="00CE2683">
      <w:pPr>
        <w:jc w:val="center"/>
        <w:rPr>
          <w:rFonts w:ascii="Century Gothic" w:hAnsi="Century Gothic"/>
          <w:color w:val="0072CE"/>
          <w:sz w:val="60"/>
          <w:szCs w:val="60"/>
        </w:rPr>
      </w:pPr>
      <w:r>
        <w:rPr>
          <w:rFonts w:ascii="Century Gothic" w:hAnsi="Century Gothic"/>
          <w:color w:val="0072CE"/>
          <w:sz w:val="60"/>
          <w:szCs w:val="60"/>
        </w:rPr>
        <w:t xml:space="preserve"> </w:t>
      </w:r>
      <w:r w:rsidR="00CE2683" w:rsidRPr="00555DE7">
        <w:rPr>
          <w:rFonts w:ascii="Century Gothic" w:hAnsi="Century Gothic"/>
          <w:color w:val="0072CE"/>
          <w:sz w:val="60"/>
          <w:szCs w:val="60"/>
        </w:rPr>
        <w:t xml:space="preserve"> Policy</w:t>
      </w:r>
    </w:p>
    <w:p w14:paraId="7B28ECCF" w14:textId="35956E68" w:rsidR="00CE2683" w:rsidRDefault="00CE2683" w:rsidP="00CE2683">
      <w:r w:rsidRPr="00CE2683">
        <w:rPr>
          <w:sz w:val="60"/>
          <w:szCs w:val="60"/>
        </w:rPr>
        <w:t xml:space="preserve"> </w:t>
      </w:r>
      <w:r>
        <w:t xml:space="preserve"> </w:t>
      </w:r>
    </w:p>
    <w:p w14:paraId="6C11CDC3" w14:textId="77777777" w:rsidR="00CE2683" w:rsidRDefault="00CE2683" w:rsidP="00CE2683">
      <w:r>
        <w:t xml:space="preserve"> </w:t>
      </w:r>
    </w:p>
    <w:p w14:paraId="020FA8C1" w14:textId="77777777" w:rsidR="00CE2683" w:rsidRDefault="00CE2683" w:rsidP="00CE2683">
      <w:r>
        <w:t xml:space="preserve"> </w:t>
      </w:r>
    </w:p>
    <w:p w14:paraId="2DC9B1C8" w14:textId="77777777" w:rsidR="00CE2683" w:rsidRPr="00CE2683" w:rsidRDefault="00CE2683" w:rsidP="00CE2683">
      <w:pPr>
        <w:rPr>
          <w:sz w:val="32"/>
          <w:szCs w:val="32"/>
        </w:rPr>
      </w:pPr>
      <w:r w:rsidRPr="00CE2683">
        <w:rPr>
          <w:sz w:val="32"/>
          <w:szCs w:val="32"/>
        </w:rPr>
        <w:t xml:space="preserve"> </w:t>
      </w:r>
    </w:p>
    <w:tbl>
      <w:tblPr>
        <w:tblStyle w:val="TableGrid"/>
        <w:tblW w:w="11449" w:type="dxa"/>
        <w:tblInd w:w="-1212" w:type="dxa"/>
        <w:tblLook w:val="04A0" w:firstRow="1" w:lastRow="0" w:firstColumn="1" w:lastColumn="0" w:noHBand="0" w:noVBand="1"/>
      </w:tblPr>
      <w:tblGrid>
        <w:gridCol w:w="2093"/>
        <w:gridCol w:w="3118"/>
        <w:gridCol w:w="1985"/>
        <w:gridCol w:w="1985"/>
        <w:gridCol w:w="2268"/>
      </w:tblGrid>
      <w:tr w:rsidR="0037037F" w:rsidRPr="00CE2683" w14:paraId="0298B954" w14:textId="77777777" w:rsidTr="0037037F">
        <w:tc>
          <w:tcPr>
            <w:tcW w:w="2093" w:type="dxa"/>
            <w:shd w:val="clear" w:color="auto" w:fill="EEECE1" w:themeFill="background2"/>
          </w:tcPr>
          <w:p w14:paraId="2DB60BF1" w14:textId="77777777" w:rsidR="0037037F" w:rsidRPr="00555DE7" w:rsidRDefault="0037037F" w:rsidP="00CE2683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Reference</w:t>
            </w:r>
          </w:p>
        </w:tc>
        <w:tc>
          <w:tcPr>
            <w:tcW w:w="3118" w:type="dxa"/>
          </w:tcPr>
          <w:p w14:paraId="3BF4F591" w14:textId="7ECB0DE7" w:rsidR="0037037F" w:rsidRPr="00555DE7" w:rsidRDefault="0037037F" w:rsidP="005A2067"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1870B8D8" w14:textId="77777777" w:rsidR="0037037F" w:rsidRPr="00555DE7" w:rsidRDefault="0037037F" w:rsidP="00CE2683"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3F7D8D6C" w14:textId="585A3A05" w:rsidR="0037037F" w:rsidRPr="00555DE7" w:rsidRDefault="0037037F" w:rsidP="00CE2683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Version</w:t>
            </w:r>
          </w:p>
        </w:tc>
        <w:tc>
          <w:tcPr>
            <w:tcW w:w="2268" w:type="dxa"/>
          </w:tcPr>
          <w:p w14:paraId="4EA74897" w14:textId="340666F6" w:rsidR="0037037F" w:rsidRPr="00555DE7" w:rsidRDefault="003A741B" w:rsidP="00CE26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37037F" w:rsidRPr="00CE2683" w14:paraId="4A3535F9" w14:textId="77777777" w:rsidTr="0037037F">
        <w:tc>
          <w:tcPr>
            <w:tcW w:w="2093" w:type="dxa"/>
            <w:shd w:val="clear" w:color="auto" w:fill="EEECE1" w:themeFill="background2"/>
          </w:tcPr>
          <w:p w14:paraId="380A7148" w14:textId="77777777" w:rsidR="0037037F" w:rsidRPr="00555DE7" w:rsidRDefault="0037037F" w:rsidP="00CE2683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Staff affected</w:t>
            </w:r>
          </w:p>
        </w:tc>
        <w:tc>
          <w:tcPr>
            <w:tcW w:w="3118" w:type="dxa"/>
          </w:tcPr>
          <w:p w14:paraId="03A89F9E" w14:textId="39B049F9" w:rsidR="0037037F" w:rsidRPr="00555DE7" w:rsidRDefault="003A741B" w:rsidP="00CE26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Housing Operations</w:t>
            </w:r>
          </w:p>
        </w:tc>
        <w:tc>
          <w:tcPr>
            <w:tcW w:w="1985" w:type="dxa"/>
            <w:shd w:val="clear" w:color="auto" w:fill="EEECE1" w:themeFill="background2"/>
          </w:tcPr>
          <w:p w14:paraId="00F51BCD" w14:textId="77777777" w:rsidR="0037037F" w:rsidRPr="00555DE7" w:rsidRDefault="0037037F" w:rsidP="00CE2683"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77002D50" w14:textId="766AF991" w:rsidR="0037037F" w:rsidRPr="00555DE7" w:rsidRDefault="0037037F" w:rsidP="00CE2683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Issue date</w:t>
            </w:r>
          </w:p>
        </w:tc>
        <w:tc>
          <w:tcPr>
            <w:tcW w:w="2268" w:type="dxa"/>
          </w:tcPr>
          <w:p w14:paraId="5CD749C0" w14:textId="7B8991C4" w:rsidR="0037037F" w:rsidRPr="00555DE7" w:rsidRDefault="003A741B" w:rsidP="0064651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3A741B">
              <w:rPr>
                <w:sz w:val="30"/>
                <w:szCs w:val="30"/>
                <w:vertAlign w:val="superscript"/>
              </w:rPr>
              <w:t>st</w:t>
            </w:r>
            <w:r>
              <w:rPr>
                <w:sz w:val="30"/>
                <w:szCs w:val="30"/>
              </w:rPr>
              <w:t xml:space="preserve"> April 2024</w:t>
            </w:r>
          </w:p>
        </w:tc>
      </w:tr>
      <w:tr w:rsidR="0037037F" w:rsidRPr="00CE2683" w14:paraId="4E6BB377" w14:textId="77777777" w:rsidTr="0037037F">
        <w:tc>
          <w:tcPr>
            <w:tcW w:w="2093" w:type="dxa"/>
            <w:shd w:val="clear" w:color="auto" w:fill="EEECE1" w:themeFill="background2"/>
          </w:tcPr>
          <w:p w14:paraId="76646885" w14:textId="77777777" w:rsidR="0037037F" w:rsidRPr="00555DE7" w:rsidRDefault="0037037F" w:rsidP="00CE2683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Approved by</w:t>
            </w:r>
          </w:p>
        </w:tc>
        <w:tc>
          <w:tcPr>
            <w:tcW w:w="3118" w:type="dxa"/>
          </w:tcPr>
          <w:p w14:paraId="050AB912" w14:textId="5F7A2AA4" w:rsidR="0037037F" w:rsidRDefault="0037037F" w:rsidP="00CE26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ELT</w:t>
            </w:r>
          </w:p>
          <w:p w14:paraId="076A99AB" w14:textId="52F740E4" w:rsidR="0037037F" w:rsidRPr="00555DE7" w:rsidRDefault="0037037F" w:rsidP="00CE2683"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280691EB" w14:textId="77777777" w:rsidR="0037037F" w:rsidRPr="00555DE7" w:rsidRDefault="0037037F" w:rsidP="00CE2683"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1F95FC75" w14:textId="65347202" w:rsidR="0037037F" w:rsidRPr="00555DE7" w:rsidRDefault="0037037F" w:rsidP="00CE2683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Review Date</w:t>
            </w:r>
          </w:p>
        </w:tc>
        <w:tc>
          <w:tcPr>
            <w:tcW w:w="2268" w:type="dxa"/>
          </w:tcPr>
          <w:p w14:paraId="5DEC5452" w14:textId="18C85769" w:rsidR="0037037F" w:rsidRPr="00555DE7" w:rsidRDefault="001314DA" w:rsidP="00CE26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3A741B">
              <w:rPr>
                <w:sz w:val="30"/>
                <w:szCs w:val="30"/>
              </w:rPr>
              <w:t>1</w:t>
            </w:r>
            <w:r w:rsidR="003A741B" w:rsidRPr="003A741B">
              <w:rPr>
                <w:sz w:val="30"/>
                <w:szCs w:val="30"/>
                <w:vertAlign w:val="superscript"/>
              </w:rPr>
              <w:t>st</w:t>
            </w:r>
            <w:r w:rsidR="003A741B">
              <w:rPr>
                <w:sz w:val="30"/>
                <w:szCs w:val="30"/>
              </w:rPr>
              <w:t xml:space="preserve"> March</w:t>
            </w:r>
            <w:r>
              <w:rPr>
                <w:sz w:val="30"/>
                <w:szCs w:val="30"/>
              </w:rPr>
              <w:t xml:space="preserve"> 2024</w:t>
            </w:r>
          </w:p>
        </w:tc>
      </w:tr>
      <w:tr w:rsidR="0037037F" w:rsidRPr="00CE2683" w14:paraId="05ABAC47" w14:textId="77777777" w:rsidTr="0037037F">
        <w:tc>
          <w:tcPr>
            <w:tcW w:w="2093" w:type="dxa"/>
            <w:shd w:val="clear" w:color="auto" w:fill="EEECE1" w:themeFill="background2"/>
          </w:tcPr>
          <w:p w14:paraId="14D0C8BB" w14:textId="77777777" w:rsidR="0037037F" w:rsidRPr="00555DE7" w:rsidRDefault="0037037F" w:rsidP="00CE2683">
            <w:pPr>
              <w:rPr>
                <w:sz w:val="30"/>
                <w:szCs w:val="30"/>
              </w:rPr>
            </w:pPr>
            <w:r w:rsidRPr="00555DE7">
              <w:rPr>
                <w:sz w:val="30"/>
                <w:szCs w:val="30"/>
              </w:rPr>
              <w:t>Lead Officer</w:t>
            </w:r>
          </w:p>
        </w:tc>
        <w:tc>
          <w:tcPr>
            <w:tcW w:w="3118" w:type="dxa"/>
          </w:tcPr>
          <w:p w14:paraId="28B16203" w14:textId="6BAA2652" w:rsidR="0037037F" w:rsidRPr="00555DE7" w:rsidRDefault="0037037F" w:rsidP="00CE26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Director of Operations </w:t>
            </w:r>
          </w:p>
        </w:tc>
        <w:tc>
          <w:tcPr>
            <w:tcW w:w="1985" w:type="dxa"/>
            <w:shd w:val="clear" w:color="auto" w:fill="EEECE1" w:themeFill="background2"/>
          </w:tcPr>
          <w:p w14:paraId="5BC9D0B8" w14:textId="77777777" w:rsidR="0037037F" w:rsidRDefault="0037037F" w:rsidP="00CE2683"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3809C9C8" w14:textId="6E1FFA14" w:rsidR="0037037F" w:rsidRPr="00555DE7" w:rsidRDefault="0037037F" w:rsidP="00CE26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Next Review</w:t>
            </w:r>
          </w:p>
        </w:tc>
        <w:tc>
          <w:tcPr>
            <w:tcW w:w="2268" w:type="dxa"/>
          </w:tcPr>
          <w:p w14:paraId="6A8EDC70" w14:textId="3740B663" w:rsidR="0037037F" w:rsidRPr="00555DE7" w:rsidRDefault="003A741B" w:rsidP="00CE26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April 2027</w:t>
            </w:r>
          </w:p>
        </w:tc>
      </w:tr>
    </w:tbl>
    <w:p w14:paraId="25FCCF60" w14:textId="40B9682B" w:rsidR="00CE2683" w:rsidRDefault="00CE2683" w:rsidP="00CE2683"/>
    <w:p w14:paraId="23DE120A" w14:textId="1966CA00" w:rsidR="00A17653" w:rsidRDefault="00A17653" w:rsidP="00CE2683"/>
    <w:p w14:paraId="1760169A" w14:textId="5C4FD90D" w:rsidR="00A17653" w:rsidRDefault="00A17653" w:rsidP="00CE2683"/>
    <w:p w14:paraId="7E46B005" w14:textId="1E09064B" w:rsidR="00A17653" w:rsidRDefault="00A17653" w:rsidP="00CE2683"/>
    <w:p w14:paraId="5B432E28" w14:textId="3B4E963D" w:rsidR="00E71639" w:rsidRDefault="00E71639" w:rsidP="00CE2683"/>
    <w:p w14:paraId="50E6769B" w14:textId="3460E6FC" w:rsidR="00E71639" w:rsidRDefault="00E71639" w:rsidP="00CE2683"/>
    <w:p w14:paraId="048A20C0" w14:textId="77777777" w:rsidR="00E71639" w:rsidRDefault="00E71639" w:rsidP="00CE2683"/>
    <w:p w14:paraId="55645144" w14:textId="5ED16F93" w:rsidR="00587FC9" w:rsidRPr="00AC54A4" w:rsidRDefault="00587FC9" w:rsidP="00B42AC5">
      <w:pPr>
        <w:rPr>
          <w:color w:val="8064A2" w:themeColor="accent4"/>
          <w:sz w:val="28"/>
          <w:szCs w:val="28"/>
        </w:rPr>
      </w:pPr>
      <w:r w:rsidRPr="00AC54A4">
        <w:rPr>
          <w:color w:val="8064A2" w:themeColor="accent4"/>
          <w:sz w:val="28"/>
          <w:szCs w:val="28"/>
        </w:rPr>
        <w:lastRenderedPageBreak/>
        <w:t>1</w:t>
      </w:r>
      <w:r w:rsidRPr="00AC54A4">
        <w:rPr>
          <w:color w:val="8064A2" w:themeColor="accent4"/>
          <w:sz w:val="28"/>
          <w:szCs w:val="28"/>
        </w:rPr>
        <w:tab/>
        <w:t xml:space="preserve">Introduction </w:t>
      </w:r>
    </w:p>
    <w:p w14:paraId="71AA7F77" w14:textId="75FEFC60" w:rsidR="003A741B" w:rsidRDefault="00587FC9" w:rsidP="003A741B">
      <w:pPr>
        <w:ind w:left="720" w:hanging="720"/>
        <w:rPr>
          <w:color w:val="0070C0"/>
          <w:sz w:val="24"/>
          <w:szCs w:val="24"/>
        </w:rPr>
      </w:pPr>
      <w:r w:rsidRPr="00E71639">
        <w:rPr>
          <w:color w:val="0070C0"/>
          <w:sz w:val="24"/>
          <w:szCs w:val="24"/>
        </w:rPr>
        <w:t>1.1</w:t>
      </w:r>
      <w:r w:rsidRPr="00E71639">
        <w:rPr>
          <w:color w:val="0070C0"/>
          <w:sz w:val="24"/>
          <w:szCs w:val="24"/>
        </w:rPr>
        <w:tab/>
      </w:r>
      <w:r w:rsidR="003A741B">
        <w:rPr>
          <w:color w:val="0070C0"/>
          <w:sz w:val="24"/>
          <w:szCs w:val="24"/>
        </w:rPr>
        <w:t>Succession is the process which occurs when a tenant dies, and an eligible person has a right by law to take over the tenancy.</w:t>
      </w:r>
    </w:p>
    <w:p w14:paraId="536DA004" w14:textId="5888E9B1" w:rsidR="001314DA" w:rsidRPr="003A741B" w:rsidRDefault="00B43D88" w:rsidP="003A741B">
      <w:pPr>
        <w:ind w:left="720" w:hanging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1</w:t>
      </w:r>
      <w:r w:rsidR="003A741B">
        <w:rPr>
          <w:color w:val="0070C0"/>
          <w:sz w:val="24"/>
          <w:szCs w:val="24"/>
        </w:rPr>
        <w:t>.2</w:t>
      </w:r>
      <w:r w:rsidR="003A741B">
        <w:rPr>
          <w:color w:val="0070C0"/>
          <w:sz w:val="24"/>
          <w:szCs w:val="24"/>
        </w:rPr>
        <w:tab/>
      </w:r>
      <w:r w:rsidR="00587FC9" w:rsidRPr="003A741B">
        <w:rPr>
          <w:color w:val="0070C0"/>
          <w:sz w:val="24"/>
          <w:szCs w:val="24"/>
        </w:rPr>
        <w:t>This policy outlines Arches housing</w:t>
      </w:r>
      <w:r w:rsidR="003A741B" w:rsidRPr="003A741B">
        <w:rPr>
          <w:color w:val="0070C0"/>
          <w:sz w:val="24"/>
          <w:szCs w:val="24"/>
        </w:rPr>
        <w:t>’s approach to people left in occupation of a property following the death of a tenant. This policy will give guidance in situations where a person does not qualify to succeed.</w:t>
      </w:r>
      <w:r w:rsidR="00587FC9" w:rsidRPr="003A741B">
        <w:rPr>
          <w:color w:val="0070C0"/>
          <w:sz w:val="24"/>
          <w:szCs w:val="24"/>
        </w:rPr>
        <w:t xml:space="preserve"> </w:t>
      </w:r>
    </w:p>
    <w:p w14:paraId="30DF7282" w14:textId="63192F9F" w:rsidR="00B42AC5" w:rsidRPr="004E2F36" w:rsidRDefault="00B42AC5" w:rsidP="001314DA">
      <w:pPr>
        <w:rPr>
          <w:color w:val="702F8A"/>
          <w:sz w:val="28"/>
          <w:szCs w:val="28"/>
        </w:rPr>
      </w:pPr>
      <w:r w:rsidRPr="004E2F36">
        <w:rPr>
          <w:color w:val="702F8A"/>
          <w:sz w:val="28"/>
          <w:szCs w:val="28"/>
        </w:rPr>
        <w:t xml:space="preserve">2 </w:t>
      </w:r>
      <w:r w:rsidRPr="004E2F36">
        <w:rPr>
          <w:color w:val="702F8A"/>
          <w:sz w:val="28"/>
          <w:szCs w:val="28"/>
        </w:rPr>
        <w:tab/>
      </w:r>
      <w:r w:rsidR="001314DA">
        <w:rPr>
          <w:color w:val="702F8A"/>
          <w:sz w:val="28"/>
          <w:szCs w:val="28"/>
        </w:rPr>
        <w:t xml:space="preserve">Legislative </w:t>
      </w:r>
      <w:r w:rsidR="003A741B">
        <w:rPr>
          <w:color w:val="702F8A"/>
          <w:sz w:val="28"/>
          <w:szCs w:val="28"/>
        </w:rPr>
        <w:t>Framework</w:t>
      </w:r>
    </w:p>
    <w:p w14:paraId="60C5E3CE" w14:textId="6AEAA7CE" w:rsidR="003A741B" w:rsidRDefault="005F085D" w:rsidP="001314DA">
      <w:pPr>
        <w:ind w:left="720" w:hanging="720"/>
        <w:rPr>
          <w:color w:val="4F81BD" w:themeColor="accent1"/>
          <w:sz w:val="24"/>
          <w:szCs w:val="24"/>
        </w:rPr>
      </w:pPr>
      <w:r>
        <w:rPr>
          <w:color w:val="0072CE"/>
          <w:sz w:val="24"/>
          <w:szCs w:val="24"/>
        </w:rPr>
        <w:t>2.1</w:t>
      </w:r>
      <w:r w:rsidR="001314DA" w:rsidRPr="001314DA">
        <w:rPr>
          <w:color w:val="4F81BD" w:themeColor="accent1"/>
          <w:sz w:val="24"/>
          <w:szCs w:val="24"/>
        </w:rPr>
        <w:tab/>
      </w:r>
      <w:r w:rsidR="003A741B">
        <w:rPr>
          <w:color w:val="4F81BD" w:themeColor="accent1"/>
          <w:sz w:val="24"/>
          <w:szCs w:val="24"/>
        </w:rPr>
        <w:t>The rights of Arches tenants to succeed to a tenancy will be different depending on whether they are:</w:t>
      </w:r>
    </w:p>
    <w:p w14:paraId="40E929B2" w14:textId="0EF30B3D" w:rsidR="003A741B" w:rsidRDefault="003A741B" w:rsidP="003A741B">
      <w:pPr>
        <w:pStyle w:val="ListParagraph"/>
        <w:numPr>
          <w:ilvl w:val="0"/>
          <w:numId w:val="11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A secure tenant</w:t>
      </w:r>
      <w:r w:rsidR="000455E9">
        <w:rPr>
          <w:color w:val="4F81BD" w:themeColor="accent1"/>
          <w:sz w:val="24"/>
          <w:szCs w:val="24"/>
        </w:rPr>
        <w:t xml:space="preserve"> (governed by the Housing Act 1985)</w:t>
      </w:r>
    </w:p>
    <w:p w14:paraId="4F812EC6" w14:textId="15C73431" w:rsidR="000455E9" w:rsidRDefault="003A741B" w:rsidP="000455E9">
      <w:pPr>
        <w:pStyle w:val="ListParagraph"/>
        <w:numPr>
          <w:ilvl w:val="0"/>
          <w:numId w:val="11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An assured tenant </w:t>
      </w:r>
      <w:r w:rsidR="000455E9">
        <w:rPr>
          <w:color w:val="4F81BD" w:themeColor="accent1"/>
          <w:sz w:val="24"/>
          <w:szCs w:val="24"/>
        </w:rPr>
        <w:t>(governed by the Housing Act 1988)</w:t>
      </w:r>
    </w:p>
    <w:p w14:paraId="13824344" w14:textId="29EC4237" w:rsidR="003A741B" w:rsidRPr="000455E9" w:rsidRDefault="0032562C" w:rsidP="000455E9">
      <w:pPr>
        <w:rPr>
          <w:color w:val="4F81BD" w:themeColor="accent1"/>
          <w:sz w:val="24"/>
          <w:szCs w:val="24"/>
        </w:rPr>
      </w:pPr>
      <w:r w:rsidRPr="000455E9">
        <w:rPr>
          <w:color w:val="4F81BD" w:themeColor="accent1"/>
          <w:sz w:val="24"/>
          <w:szCs w:val="24"/>
        </w:rPr>
        <w:t>2.2</w:t>
      </w:r>
      <w:r w:rsidRPr="000455E9">
        <w:rPr>
          <w:color w:val="4F81BD" w:themeColor="accent1"/>
          <w:sz w:val="24"/>
          <w:szCs w:val="24"/>
        </w:rPr>
        <w:tab/>
        <w:t xml:space="preserve">For all tenancy types, one statutory succession is allowed in total. Where a tenancy </w:t>
      </w:r>
      <w:r w:rsidRPr="000455E9">
        <w:rPr>
          <w:color w:val="4F81BD" w:themeColor="accent1"/>
          <w:sz w:val="24"/>
          <w:szCs w:val="24"/>
        </w:rPr>
        <w:tab/>
        <w:t xml:space="preserve">was originally a joint tenancy and one of the joint tenants dies, this counts as a </w:t>
      </w:r>
      <w:r w:rsidRPr="000455E9">
        <w:rPr>
          <w:color w:val="4F81BD" w:themeColor="accent1"/>
          <w:sz w:val="24"/>
          <w:szCs w:val="24"/>
        </w:rPr>
        <w:tab/>
        <w:t>succession and no further statutory successions can be allowed.</w:t>
      </w:r>
    </w:p>
    <w:p w14:paraId="29B667CA" w14:textId="77777777" w:rsidR="0032562C" w:rsidRDefault="0032562C" w:rsidP="003A741B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2.3</w:t>
      </w:r>
      <w:r>
        <w:rPr>
          <w:color w:val="4F81BD" w:themeColor="accent1"/>
          <w:sz w:val="24"/>
          <w:szCs w:val="24"/>
        </w:rPr>
        <w:tab/>
        <w:t xml:space="preserve">The would-be successor must at the time of death of the original tenant, occupy the </w:t>
      </w:r>
      <w:r>
        <w:rPr>
          <w:color w:val="4F81BD" w:themeColor="accent1"/>
          <w:sz w:val="24"/>
          <w:szCs w:val="24"/>
        </w:rPr>
        <w:tab/>
        <w:t xml:space="preserve">property as their only or principal home. </w:t>
      </w:r>
    </w:p>
    <w:p w14:paraId="21065C20" w14:textId="35B46251" w:rsidR="0032562C" w:rsidRDefault="0032562C" w:rsidP="003A741B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2.4</w:t>
      </w:r>
      <w:r>
        <w:rPr>
          <w:color w:val="4F81BD" w:themeColor="accent1"/>
          <w:sz w:val="24"/>
          <w:szCs w:val="24"/>
        </w:rPr>
        <w:tab/>
        <w:t>For a</w:t>
      </w:r>
      <w:r w:rsidR="007A4AC9">
        <w:rPr>
          <w:color w:val="4F81BD" w:themeColor="accent1"/>
          <w:sz w:val="24"/>
          <w:szCs w:val="24"/>
        </w:rPr>
        <w:t xml:space="preserve">ssured </w:t>
      </w:r>
      <w:r>
        <w:rPr>
          <w:color w:val="4F81BD" w:themeColor="accent1"/>
          <w:sz w:val="24"/>
          <w:szCs w:val="24"/>
        </w:rPr>
        <w:t xml:space="preserve">tenancies, the deceased tenant’s spouse or civil partner can succeed on </w:t>
      </w:r>
      <w:r w:rsidR="009923C1"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>the basis that they are occupying the property as their only or principal home.</w:t>
      </w:r>
      <w:r w:rsidR="00A06E3F">
        <w:rPr>
          <w:color w:val="4F81BD" w:themeColor="accent1"/>
          <w:sz w:val="24"/>
          <w:szCs w:val="24"/>
        </w:rPr>
        <w:t xml:space="preserve"> No </w:t>
      </w:r>
      <w:r w:rsidR="00A06E3F">
        <w:rPr>
          <w:color w:val="4F81BD" w:themeColor="accent1"/>
          <w:sz w:val="24"/>
          <w:szCs w:val="24"/>
        </w:rPr>
        <w:tab/>
        <w:t>other family members have the right to succeed.</w:t>
      </w:r>
    </w:p>
    <w:p w14:paraId="7F39E583" w14:textId="66040031" w:rsidR="000455E9" w:rsidRDefault="0032562C" w:rsidP="003A741B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2.5</w:t>
      </w:r>
      <w:r>
        <w:rPr>
          <w:color w:val="4F81BD" w:themeColor="accent1"/>
          <w:sz w:val="24"/>
          <w:szCs w:val="24"/>
        </w:rPr>
        <w:tab/>
      </w:r>
      <w:r w:rsidR="000455E9">
        <w:rPr>
          <w:color w:val="4F81BD" w:themeColor="accent1"/>
          <w:sz w:val="24"/>
          <w:szCs w:val="24"/>
        </w:rPr>
        <w:t xml:space="preserve">For secure tenants, the additional following family members have the right to </w:t>
      </w:r>
      <w:r w:rsidR="000455E9">
        <w:rPr>
          <w:color w:val="4F81BD" w:themeColor="accent1"/>
          <w:sz w:val="24"/>
          <w:szCs w:val="24"/>
        </w:rPr>
        <w:tab/>
        <w:t>succeed:</w:t>
      </w:r>
    </w:p>
    <w:p w14:paraId="09FE184F" w14:textId="5FC5A668" w:rsidR="009923C1" w:rsidRDefault="009923C1" w:rsidP="000455E9">
      <w:pPr>
        <w:pStyle w:val="ListParagraph"/>
        <w:numPr>
          <w:ilvl w:val="0"/>
          <w:numId w:val="1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Spouse or civil partner</w:t>
      </w:r>
    </w:p>
    <w:p w14:paraId="4974BE75" w14:textId="31CFBFCE" w:rsidR="000455E9" w:rsidRDefault="000455E9" w:rsidP="000455E9">
      <w:pPr>
        <w:pStyle w:val="ListParagraph"/>
        <w:numPr>
          <w:ilvl w:val="0"/>
          <w:numId w:val="1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Parents</w:t>
      </w:r>
    </w:p>
    <w:p w14:paraId="23B9DAE0" w14:textId="7C6CBC09" w:rsidR="000455E9" w:rsidRDefault="000455E9" w:rsidP="000455E9">
      <w:pPr>
        <w:pStyle w:val="ListParagraph"/>
        <w:numPr>
          <w:ilvl w:val="0"/>
          <w:numId w:val="1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Grandparents</w:t>
      </w:r>
    </w:p>
    <w:p w14:paraId="49DCC58D" w14:textId="0584D24D" w:rsidR="000455E9" w:rsidRDefault="000455E9" w:rsidP="000455E9">
      <w:pPr>
        <w:pStyle w:val="ListParagraph"/>
        <w:numPr>
          <w:ilvl w:val="0"/>
          <w:numId w:val="1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Children</w:t>
      </w:r>
    </w:p>
    <w:p w14:paraId="1D6722CC" w14:textId="4DA95924" w:rsidR="000455E9" w:rsidRDefault="000455E9" w:rsidP="000455E9">
      <w:pPr>
        <w:pStyle w:val="ListParagraph"/>
        <w:numPr>
          <w:ilvl w:val="0"/>
          <w:numId w:val="1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Grandchildren</w:t>
      </w:r>
    </w:p>
    <w:p w14:paraId="0C79FE03" w14:textId="5A112CEC" w:rsidR="000455E9" w:rsidRDefault="000455E9" w:rsidP="000455E9">
      <w:pPr>
        <w:pStyle w:val="ListParagraph"/>
        <w:numPr>
          <w:ilvl w:val="0"/>
          <w:numId w:val="1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Siblings</w:t>
      </w:r>
    </w:p>
    <w:p w14:paraId="5F914000" w14:textId="6FA74A64" w:rsidR="000455E9" w:rsidRDefault="000455E9" w:rsidP="000455E9">
      <w:pPr>
        <w:pStyle w:val="ListParagraph"/>
        <w:numPr>
          <w:ilvl w:val="0"/>
          <w:numId w:val="1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Uncles</w:t>
      </w:r>
    </w:p>
    <w:p w14:paraId="7CF6E16D" w14:textId="7717A41E" w:rsidR="000455E9" w:rsidRDefault="000455E9" w:rsidP="000455E9">
      <w:pPr>
        <w:pStyle w:val="ListParagraph"/>
        <w:numPr>
          <w:ilvl w:val="0"/>
          <w:numId w:val="1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Aunts</w:t>
      </w:r>
    </w:p>
    <w:p w14:paraId="58EFB4F4" w14:textId="0E75CBFD" w:rsidR="000455E9" w:rsidRDefault="000455E9" w:rsidP="000455E9">
      <w:pPr>
        <w:pStyle w:val="ListParagraph"/>
        <w:numPr>
          <w:ilvl w:val="0"/>
          <w:numId w:val="12"/>
        </w:num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Nephews and nieces</w:t>
      </w:r>
    </w:p>
    <w:p w14:paraId="4824DCBF" w14:textId="7F1EBAAF" w:rsidR="000455E9" w:rsidRDefault="000455E9" w:rsidP="000455E9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ab/>
        <w:t xml:space="preserve">These include step-relations and half relations. </w:t>
      </w:r>
    </w:p>
    <w:p w14:paraId="2BCD5B63" w14:textId="116CE512" w:rsidR="0032562C" w:rsidRDefault="000455E9" w:rsidP="003A741B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2.6</w:t>
      </w:r>
      <w:r>
        <w:rPr>
          <w:color w:val="4F81BD" w:themeColor="accent1"/>
          <w:sz w:val="24"/>
          <w:szCs w:val="24"/>
        </w:rPr>
        <w:tab/>
      </w:r>
      <w:r w:rsidR="0032562C">
        <w:rPr>
          <w:color w:val="4F81BD" w:themeColor="accent1"/>
          <w:sz w:val="24"/>
          <w:szCs w:val="24"/>
        </w:rPr>
        <w:t xml:space="preserve">In the case of anyone other than the spouse or civil partner claiming succession, they </w:t>
      </w:r>
      <w:r>
        <w:rPr>
          <w:color w:val="4F81BD" w:themeColor="accent1"/>
          <w:sz w:val="24"/>
          <w:szCs w:val="24"/>
        </w:rPr>
        <w:tab/>
      </w:r>
      <w:r w:rsidR="0032562C">
        <w:rPr>
          <w:color w:val="4F81BD" w:themeColor="accent1"/>
          <w:sz w:val="24"/>
          <w:szCs w:val="24"/>
        </w:rPr>
        <w:t xml:space="preserve">must demonstrate they have been living at </w:t>
      </w:r>
      <w:r w:rsidR="0032562C">
        <w:rPr>
          <w:color w:val="4F81BD" w:themeColor="accent1"/>
          <w:sz w:val="24"/>
          <w:szCs w:val="24"/>
        </w:rPr>
        <w:tab/>
        <w:t>the property for 12 months or more.</w:t>
      </w:r>
      <w:r w:rsidR="000E7754">
        <w:rPr>
          <w:color w:val="4F81BD" w:themeColor="accent1"/>
          <w:sz w:val="24"/>
          <w:szCs w:val="24"/>
        </w:rPr>
        <w:t xml:space="preserve"> </w:t>
      </w:r>
      <w:r w:rsidR="000E7754">
        <w:rPr>
          <w:color w:val="4F81BD" w:themeColor="accent1"/>
          <w:sz w:val="24"/>
          <w:szCs w:val="24"/>
        </w:rPr>
        <w:tab/>
        <w:t xml:space="preserve">Spouses or civil partners only have to demonstrate that they are living at the </w:t>
      </w:r>
      <w:r w:rsidR="000E7754">
        <w:rPr>
          <w:color w:val="4F81BD" w:themeColor="accent1"/>
          <w:sz w:val="24"/>
          <w:szCs w:val="24"/>
        </w:rPr>
        <w:tab/>
        <w:t>property as their principal home.</w:t>
      </w:r>
    </w:p>
    <w:p w14:paraId="5031BC81" w14:textId="43F05D12" w:rsidR="005A063D" w:rsidRDefault="00732F82" w:rsidP="003A741B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lastRenderedPageBreak/>
        <w:t>2.7</w:t>
      </w:r>
      <w:r>
        <w:rPr>
          <w:color w:val="4F81BD" w:themeColor="accent1"/>
          <w:sz w:val="24"/>
          <w:szCs w:val="24"/>
        </w:rPr>
        <w:tab/>
        <w:t>Where a child under 18 succeeds, the</w:t>
      </w:r>
      <w:r w:rsidR="00F81FA9">
        <w:rPr>
          <w:color w:val="4F81BD" w:themeColor="accent1"/>
          <w:sz w:val="24"/>
          <w:szCs w:val="24"/>
        </w:rPr>
        <w:t xml:space="preserve">ir tenancy interest will be placed </w:t>
      </w:r>
      <w:r w:rsidR="008D7EF2">
        <w:rPr>
          <w:color w:val="4F81BD" w:themeColor="accent1"/>
          <w:sz w:val="24"/>
          <w:szCs w:val="24"/>
        </w:rPr>
        <w:t xml:space="preserve">in trust to </w:t>
      </w:r>
      <w:r w:rsidR="008D7EF2">
        <w:rPr>
          <w:color w:val="4F81BD" w:themeColor="accent1"/>
          <w:sz w:val="24"/>
          <w:szCs w:val="24"/>
        </w:rPr>
        <w:tab/>
        <w:t>another family member until they reach 18 years of age.</w:t>
      </w:r>
    </w:p>
    <w:p w14:paraId="3168EB27" w14:textId="68513F23" w:rsidR="00A64214" w:rsidRDefault="00A64214" w:rsidP="003A741B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2.</w:t>
      </w:r>
      <w:r w:rsidR="00732F82">
        <w:rPr>
          <w:color w:val="4F81BD" w:themeColor="accent1"/>
          <w:sz w:val="24"/>
          <w:szCs w:val="24"/>
        </w:rPr>
        <w:t>8</w:t>
      </w:r>
      <w:r>
        <w:rPr>
          <w:color w:val="4F81BD" w:themeColor="accent1"/>
          <w:sz w:val="24"/>
          <w:szCs w:val="24"/>
        </w:rPr>
        <w:tab/>
        <w:t xml:space="preserve">Arches housing does not confer any additional succession rights through its tenancy </w:t>
      </w:r>
      <w:r>
        <w:rPr>
          <w:color w:val="4F81BD" w:themeColor="accent1"/>
          <w:sz w:val="24"/>
          <w:szCs w:val="24"/>
        </w:rPr>
        <w:tab/>
        <w:t>agreement.</w:t>
      </w:r>
    </w:p>
    <w:p w14:paraId="6B17B172" w14:textId="6E9142F0" w:rsidR="003A741B" w:rsidRDefault="0032562C" w:rsidP="008906BA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ab/>
        <w:t xml:space="preserve"> </w:t>
      </w:r>
    </w:p>
    <w:p w14:paraId="1AA58AC7" w14:textId="654AD297" w:rsidR="004F003F" w:rsidRPr="004E2F36" w:rsidRDefault="004F003F" w:rsidP="004F003F">
      <w:pPr>
        <w:rPr>
          <w:color w:val="702F8A"/>
          <w:sz w:val="28"/>
          <w:szCs w:val="28"/>
        </w:rPr>
      </w:pPr>
      <w:r>
        <w:rPr>
          <w:color w:val="702F8A"/>
          <w:sz w:val="28"/>
          <w:szCs w:val="28"/>
        </w:rPr>
        <w:t>3</w:t>
      </w:r>
      <w:r w:rsidRPr="004E2F36">
        <w:rPr>
          <w:color w:val="702F8A"/>
          <w:sz w:val="28"/>
          <w:szCs w:val="28"/>
        </w:rPr>
        <w:t xml:space="preserve"> </w:t>
      </w:r>
      <w:r w:rsidRPr="004E2F36">
        <w:rPr>
          <w:color w:val="702F8A"/>
          <w:sz w:val="28"/>
          <w:szCs w:val="28"/>
        </w:rPr>
        <w:tab/>
      </w:r>
      <w:r w:rsidR="008B68CE">
        <w:rPr>
          <w:color w:val="702F8A"/>
          <w:sz w:val="28"/>
          <w:szCs w:val="28"/>
        </w:rPr>
        <w:t>Policy Statement</w:t>
      </w:r>
    </w:p>
    <w:p w14:paraId="3130EF1A" w14:textId="67E3380C" w:rsidR="000455E9" w:rsidRDefault="004F003F" w:rsidP="00587FC9">
      <w:pPr>
        <w:ind w:left="720" w:hanging="720"/>
        <w:rPr>
          <w:color w:val="0070C0"/>
          <w:sz w:val="24"/>
          <w:szCs w:val="24"/>
        </w:rPr>
      </w:pPr>
      <w:r w:rsidRPr="004F003F">
        <w:rPr>
          <w:color w:val="0070C0"/>
          <w:sz w:val="24"/>
          <w:szCs w:val="24"/>
        </w:rPr>
        <w:t>3.1</w:t>
      </w:r>
      <w:r w:rsidRPr="004F003F">
        <w:rPr>
          <w:color w:val="0070C0"/>
          <w:sz w:val="24"/>
          <w:szCs w:val="24"/>
        </w:rPr>
        <w:tab/>
      </w:r>
      <w:r w:rsidR="000455E9">
        <w:rPr>
          <w:color w:val="0070C0"/>
          <w:sz w:val="24"/>
          <w:szCs w:val="24"/>
        </w:rPr>
        <w:t xml:space="preserve">A discretionary succession is where the person requesting to succeed to the tenancy was left in the property on the death of the tenant but has no statutory </w:t>
      </w:r>
      <w:r w:rsidR="00A64214">
        <w:rPr>
          <w:color w:val="0070C0"/>
          <w:sz w:val="24"/>
          <w:szCs w:val="24"/>
        </w:rPr>
        <w:t>right to succeed. They are asking us to exercise our discretion to let them stay as a tenant. We are under no obligation to exercise that discretion.</w:t>
      </w:r>
    </w:p>
    <w:p w14:paraId="69B5390F" w14:textId="48F9C64C" w:rsidR="00A64214" w:rsidRDefault="00A64214" w:rsidP="00587FC9">
      <w:pPr>
        <w:ind w:left="720" w:hanging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3.2</w:t>
      </w:r>
      <w:r>
        <w:rPr>
          <w:color w:val="0070C0"/>
          <w:sz w:val="24"/>
          <w:szCs w:val="24"/>
        </w:rPr>
        <w:tab/>
        <w:t>Arches housing will consider all requests for discretionary succession taking into consideration our Access to Housing Policy. In deciding whether to exercise this discretionary grant of a tenancy, the following will be considered:</w:t>
      </w:r>
    </w:p>
    <w:p w14:paraId="7B0243DD" w14:textId="36B3A07B" w:rsidR="00A64214" w:rsidRDefault="00A64214" w:rsidP="00A6421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Previous successions to the tenancy.</w:t>
      </w:r>
    </w:p>
    <w:p w14:paraId="09653938" w14:textId="165875ED" w:rsidR="00A64214" w:rsidRDefault="00A64214" w:rsidP="00A6421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Whether the would-be successor is a family member as defined under the 1985 Housing Act or the appointed guardian of the deceased tenant’s children.</w:t>
      </w:r>
    </w:p>
    <w:p w14:paraId="47F938D5" w14:textId="56C34C99" w:rsidR="00A64214" w:rsidRDefault="00A64214" w:rsidP="00A6421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The would-be successor has lived in the property as their only or main home in the 12 months prior to their death</w:t>
      </w:r>
      <w:r w:rsidR="00DE07A4">
        <w:rPr>
          <w:color w:val="0070C0"/>
          <w:sz w:val="24"/>
          <w:szCs w:val="24"/>
        </w:rPr>
        <w:t>.</w:t>
      </w:r>
    </w:p>
    <w:p w14:paraId="4D51C747" w14:textId="06D3CC40" w:rsidR="00DE07A4" w:rsidRDefault="00DE07A4" w:rsidP="00A6421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That all adult household members have the right to rent.</w:t>
      </w:r>
    </w:p>
    <w:p w14:paraId="30DC8B75" w14:textId="5F930BAD" w:rsidR="00DE07A4" w:rsidRDefault="00DE07A4" w:rsidP="00A6421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That the property is not over or under occupied.</w:t>
      </w:r>
    </w:p>
    <w:p w14:paraId="4C5402B2" w14:textId="54AB0024" w:rsidR="00DE07A4" w:rsidRDefault="00DE07A4" w:rsidP="00A6421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The occupier passes an affordability assessment.</w:t>
      </w:r>
    </w:p>
    <w:p w14:paraId="601F2558" w14:textId="1D5D0833" w:rsidR="00DE07A4" w:rsidRDefault="00DE07A4" w:rsidP="00A6421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The property has been kept in a c lean and well-maintained condition and there are no complaints of anti-social behaviour or other breaches of tenancy against the household members.</w:t>
      </w:r>
    </w:p>
    <w:p w14:paraId="30735E7D" w14:textId="479CA9E3" w:rsidR="00DE07A4" w:rsidRDefault="00DE07A4" w:rsidP="00A6421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The applicant agrees to pay an arrears that have accrued since the tenant’s death.</w:t>
      </w:r>
    </w:p>
    <w:p w14:paraId="67B3D1B5" w14:textId="1E4904E9" w:rsidR="00DE07A4" w:rsidRDefault="00DE07A4" w:rsidP="00A6421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The applicant does not have the right to live at another property.</w:t>
      </w:r>
    </w:p>
    <w:p w14:paraId="3905B654" w14:textId="4671D294" w:rsidR="00DE07A4" w:rsidRDefault="00DE07A4" w:rsidP="00A6421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The property is not adapted or sheltered accommodation.</w:t>
      </w:r>
    </w:p>
    <w:p w14:paraId="03E4D309" w14:textId="280F0852" w:rsidR="00DE07A4" w:rsidRPr="00DE07A4" w:rsidRDefault="00DE07A4" w:rsidP="00DE07A4">
      <w:pPr>
        <w:pStyle w:val="ListParagraph"/>
        <w:numPr>
          <w:ilvl w:val="0"/>
          <w:numId w:val="13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The property is suitable for the needs of the applicant and household members.</w:t>
      </w:r>
    </w:p>
    <w:p w14:paraId="4DE6BFB3" w14:textId="77777777" w:rsidR="00DE07A4" w:rsidRDefault="00DE07A4" w:rsidP="00DE07A4">
      <w:pPr>
        <w:pStyle w:val="ListParagraph"/>
        <w:rPr>
          <w:color w:val="0070C0"/>
          <w:sz w:val="24"/>
          <w:szCs w:val="24"/>
        </w:rPr>
      </w:pPr>
    </w:p>
    <w:p w14:paraId="2296C5DA" w14:textId="38B8CA25" w:rsidR="00DE07A4" w:rsidRDefault="00DE07A4" w:rsidP="00587FC9">
      <w:pPr>
        <w:ind w:left="720" w:hanging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3.3</w:t>
      </w:r>
      <w:r>
        <w:rPr>
          <w:color w:val="0070C0"/>
          <w:sz w:val="24"/>
          <w:szCs w:val="24"/>
        </w:rPr>
        <w:tab/>
        <w:t xml:space="preserve">Where we would agree to a discretionary grant of a new </w:t>
      </w:r>
      <w:r w:rsidR="006A0E40">
        <w:rPr>
          <w:color w:val="0070C0"/>
          <w:sz w:val="24"/>
          <w:szCs w:val="24"/>
        </w:rPr>
        <w:t>tenancy,</w:t>
      </w:r>
      <w:r>
        <w:rPr>
          <w:color w:val="0070C0"/>
          <w:sz w:val="24"/>
          <w:szCs w:val="24"/>
        </w:rPr>
        <w:t xml:space="preserve"> but the property is unsuitable, we will support the occupant in finding rehousing.</w:t>
      </w:r>
    </w:p>
    <w:p w14:paraId="33590F39" w14:textId="30F69F94" w:rsidR="00DE07A4" w:rsidRDefault="00DE07A4" w:rsidP="00587FC9">
      <w:pPr>
        <w:ind w:left="720" w:hanging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3.4</w:t>
      </w:r>
      <w:r>
        <w:rPr>
          <w:color w:val="0070C0"/>
          <w:sz w:val="24"/>
          <w:szCs w:val="24"/>
        </w:rPr>
        <w:tab/>
        <w:t>Where the occupant is vulnerable consideration will be given to those vulnerabilities and any potential impact caused by a change in accommodation.</w:t>
      </w:r>
      <w:r>
        <w:rPr>
          <w:color w:val="0070C0"/>
          <w:sz w:val="24"/>
          <w:szCs w:val="24"/>
        </w:rPr>
        <w:tab/>
      </w:r>
    </w:p>
    <w:p w14:paraId="1300E91F" w14:textId="7FEA42A9" w:rsidR="00DE07A4" w:rsidRDefault="00DE07A4" w:rsidP="00587FC9">
      <w:pPr>
        <w:ind w:left="720" w:hanging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3.5</w:t>
      </w:r>
      <w:r>
        <w:rPr>
          <w:color w:val="0070C0"/>
          <w:sz w:val="24"/>
          <w:szCs w:val="24"/>
        </w:rPr>
        <w:tab/>
        <w:t>It is important to note that someone who is granted a tenancy under this option, will not be treated as a ‘successor’ which means their spouse, or civil partner will have a statutory right of succession in the future.</w:t>
      </w:r>
    </w:p>
    <w:p w14:paraId="6311630E" w14:textId="27A48F38" w:rsidR="001420F6" w:rsidRDefault="001420F6" w:rsidP="00587FC9">
      <w:pPr>
        <w:ind w:left="720" w:hanging="7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>3.6</w:t>
      </w:r>
      <w:r>
        <w:rPr>
          <w:color w:val="0070C0"/>
          <w:sz w:val="24"/>
          <w:szCs w:val="24"/>
        </w:rPr>
        <w:tab/>
        <w:t xml:space="preserve">Where an applicant is unhappy with the outcome of their request, they will have the right to </w:t>
      </w:r>
      <w:r w:rsidR="003A5AC4">
        <w:rPr>
          <w:color w:val="0070C0"/>
          <w:sz w:val="24"/>
          <w:szCs w:val="24"/>
        </w:rPr>
        <w:t>appeal through our formal complaints process.</w:t>
      </w:r>
    </w:p>
    <w:p w14:paraId="2E2A3453" w14:textId="77777777" w:rsidR="00DE07A4" w:rsidRDefault="00DE07A4" w:rsidP="00587FC9">
      <w:pPr>
        <w:ind w:left="720" w:hanging="720"/>
        <w:rPr>
          <w:color w:val="0070C0"/>
          <w:sz w:val="24"/>
          <w:szCs w:val="24"/>
        </w:rPr>
      </w:pPr>
    </w:p>
    <w:p w14:paraId="264E5CE0" w14:textId="465E562A" w:rsidR="00480B71" w:rsidRPr="00480B71" w:rsidRDefault="00E71639" w:rsidP="000D4EF6">
      <w:pPr>
        <w:rPr>
          <w:color w:val="702F8A"/>
          <w:sz w:val="28"/>
          <w:szCs w:val="28"/>
        </w:rPr>
      </w:pPr>
      <w:r>
        <w:rPr>
          <w:color w:val="702F8A"/>
          <w:sz w:val="28"/>
          <w:szCs w:val="28"/>
        </w:rPr>
        <w:t>4</w:t>
      </w:r>
      <w:r w:rsidR="000D4EF6" w:rsidRPr="00555DE7">
        <w:rPr>
          <w:color w:val="702F8A"/>
          <w:sz w:val="28"/>
          <w:szCs w:val="28"/>
        </w:rPr>
        <w:t>.</w:t>
      </w:r>
      <w:r w:rsidR="000D4EF6" w:rsidRPr="00555DE7">
        <w:rPr>
          <w:color w:val="702F8A"/>
          <w:sz w:val="28"/>
          <w:szCs w:val="28"/>
        </w:rPr>
        <w:tab/>
        <w:t xml:space="preserve"> </w:t>
      </w:r>
      <w:r w:rsidR="00A239ED">
        <w:rPr>
          <w:color w:val="702F8A"/>
          <w:sz w:val="28"/>
          <w:szCs w:val="28"/>
        </w:rPr>
        <w:t xml:space="preserve">Organisation Roles and </w:t>
      </w:r>
      <w:r w:rsidR="00353A1B">
        <w:rPr>
          <w:color w:val="702F8A"/>
          <w:sz w:val="28"/>
          <w:szCs w:val="28"/>
        </w:rPr>
        <w:t>Responsibilities</w:t>
      </w:r>
    </w:p>
    <w:p w14:paraId="15B8416E" w14:textId="2C7CBB8A" w:rsidR="000D4EF6" w:rsidRPr="00E71639" w:rsidRDefault="00E71639" w:rsidP="000D4EF6">
      <w:pPr>
        <w:rPr>
          <w:color w:val="0070C0"/>
          <w:sz w:val="24"/>
          <w:szCs w:val="24"/>
        </w:rPr>
      </w:pPr>
      <w:r>
        <w:rPr>
          <w:color w:val="0072CE"/>
          <w:sz w:val="24"/>
          <w:szCs w:val="24"/>
        </w:rPr>
        <w:t>4</w:t>
      </w:r>
      <w:r w:rsidR="000D4EF6" w:rsidRPr="006639D7">
        <w:rPr>
          <w:color w:val="0072CE"/>
          <w:sz w:val="24"/>
          <w:szCs w:val="24"/>
        </w:rPr>
        <w:t>.1</w:t>
      </w:r>
      <w:r w:rsidR="000D4EF6" w:rsidRPr="006639D7">
        <w:rPr>
          <w:color w:val="0072CE"/>
          <w:sz w:val="24"/>
          <w:szCs w:val="24"/>
        </w:rPr>
        <w:tab/>
        <w:t xml:space="preserve"> </w:t>
      </w:r>
      <w:r w:rsidR="000D4EF6" w:rsidRPr="00E71639">
        <w:rPr>
          <w:color w:val="0070C0"/>
          <w:sz w:val="24"/>
          <w:szCs w:val="24"/>
        </w:rPr>
        <w:t xml:space="preserve">Chief Executive </w:t>
      </w:r>
    </w:p>
    <w:p w14:paraId="3ED0E1F0" w14:textId="60A9BD60" w:rsidR="000D4EF6" w:rsidRPr="00E71639" w:rsidRDefault="000D4EF6" w:rsidP="00480B71">
      <w:pPr>
        <w:ind w:left="720"/>
        <w:rPr>
          <w:color w:val="0070C0"/>
          <w:sz w:val="24"/>
          <w:szCs w:val="24"/>
        </w:rPr>
      </w:pPr>
      <w:r w:rsidRPr="00E71639">
        <w:rPr>
          <w:color w:val="0070C0"/>
          <w:sz w:val="24"/>
          <w:szCs w:val="24"/>
        </w:rPr>
        <w:t>The Chief Executive</w:t>
      </w:r>
      <w:r w:rsidR="00E71639" w:rsidRPr="00E71639">
        <w:rPr>
          <w:color w:val="0070C0"/>
          <w:sz w:val="24"/>
          <w:szCs w:val="24"/>
        </w:rPr>
        <w:t>,</w:t>
      </w:r>
      <w:r w:rsidRPr="00E71639">
        <w:rPr>
          <w:color w:val="0070C0"/>
          <w:sz w:val="24"/>
          <w:szCs w:val="24"/>
        </w:rPr>
        <w:t xml:space="preserve"> and ultimately the Board</w:t>
      </w:r>
      <w:r w:rsidR="00E71639" w:rsidRPr="00E71639">
        <w:rPr>
          <w:color w:val="0070C0"/>
          <w:sz w:val="24"/>
          <w:szCs w:val="24"/>
        </w:rPr>
        <w:t>,</w:t>
      </w:r>
      <w:r w:rsidRPr="00E71639">
        <w:rPr>
          <w:color w:val="0070C0"/>
          <w:sz w:val="24"/>
          <w:szCs w:val="24"/>
        </w:rPr>
        <w:t xml:space="preserve"> have overall responsibility for the </w:t>
      </w:r>
      <w:r w:rsidR="00343D94" w:rsidRPr="00E71639">
        <w:rPr>
          <w:color w:val="0070C0"/>
          <w:sz w:val="24"/>
          <w:szCs w:val="24"/>
        </w:rPr>
        <w:t>D</w:t>
      </w:r>
      <w:r w:rsidR="008C427C">
        <w:rPr>
          <w:color w:val="0070C0"/>
          <w:sz w:val="24"/>
          <w:szCs w:val="24"/>
        </w:rPr>
        <w:t>iscretionary Succession Policy.</w:t>
      </w:r>
      <w:r w:rsidR="00480B71" w:rsidRPr="00E71639">
        <w:rPr>
          <w:color w:val="0070C0"/>
          <w:sz w:val="24"/>
          <w:szCs w:val="24"/>
        </w:rPr>
        <w:t xml:space="preserve"> </w:t>
      </w:r>
    </w:p>
    <w:p w14:paraId="6E787E4A" w14:textId="71297D7A" w:rsidR="000D4EF6" w:rsidRPr="00E71639" w:rsidRDefault="00E71639" w:rsidP="00273156">
      <w:pPr>
        <w:rPr>
          <w:color w:val="0070C0"/>
          <w:sz w:val="24"/>
          <w:szCs w:val="24"/>
        </w:rPr>
      </w:pPr>
      <w:r w:rsidRPr="00E71639">
        <w:rPr>
          <w:color w:val="0070C0"/>
          <w:sz w:val="24"/>
          <w:szCs w:val="24"/>
        </w:rPr>
        <w:t>4</w:t>
      </w:r>
      <w:r w:rsidR="000D4EF6" w:rsidRPr="00E71639">
        <w:rPr>
          <w:color w:val="0070C0"/>
          <w:sz w:val="24"/>
          <w:szCs w:val="24"/>
        </w:rPr>
        <w:t>.2</w:t>
      </w:r>
      <w:r w:rsidR="000D4EF6" w:rsidRPr="00E71639">
        <w:rPr>
          <w:color w:val="0070C0"/>
          <w:sz w:val="24"/>
          <w:szCs w:val="24"/>
        </w:rPr>
        <w:tab/>
        <w:t xml:space="preserve">Director of Operations </w:t>
      </w:r>
    </w:p>
    <w:p w14:paraId="54FA80D2" w14:textId="4D477BCE" w:rsidR="00E71639" w:rsidRPr="00E71639" w:rsidRDefault="000D4EF6" w:rsidP="00587FC9">
      <w:pPr>
        <w:ind w:left="720"/>
        <w:rPr>
          <w:color w:val="0070C0"/>
          <w:sz w:val="24"/>
          <w:szCs w:val="24"/>
        </w:rPr>
      </w:pPr>
      <w:r w:rsidRPr="00E71639">
        <w:rPr>
          <w:color w:val="0070C0"/>
          <w:sz w:val="24"/>
          <w:szCs w:val="24"/>
        </w:rPr>
        <w:t xml:space="preserve">The Director of Operations </w:t>
      </w:r>
      <w:r w:rsidR="00480B71" w:rsidRPr="00E71639">
        <w:rPr>
          <w:color w:val="0070C0"/>
          <w:sz w:val="24"/>
          <w:szCs w:val="24"/>
        </w:rPr>
        <w:t>is responsible for the implementation of this policy and associated procedures</w:t>
      </w:r>
      <w:r w:rsidR="001078D5">
        <w:rPr>
          <w:color w:val="0070C0"/>
          <w:sz w:val="24"/>
          <w:szCs w:val="24"/>
        </w:rPr>
        <w:t>.</w:t>
      </w:r>
    </w:p>
    <w:p w14:paraId="60130857" w14:textId="56E9D835" w:rsidR="000D4EF6" w:rsidRPr="00E71639" w:rsidRDefault="00E71639" w:rsidP="00273156">
      <w:pPr>
        <w:rPr>
          <w:color w:val="0070C0"/>
          <w:sz w:val="24"/>
          <w:szCs w:val="24"/>
        </w:rPr>
      </w:pPr>
      <w:r w:rsidRPr="00E71639">
        <w:rPr>
          <w:color w:val="0070C0"/>
          <w:sz w:val="24"/>
          <w:szCs w:val="24"/>
        </w:rPr>
        <w:t>4</w:t>
      </w:r>
      <w:r w:rsidR="002E67AD" w:rsidRPr="00E71639">
        <w:rPr>
          <w:color w:val="0070C0"/>
          <w:sz w:val="24"/>
          <w:szCs w:val="24"/>
        </w:rPr>
        <w:t xml:space="preserve">.3 </w:t>
      </w:r>
      <w:r w:rsidR="002E67AD" w:rsidRPr="00E71639">
        <w:rPr>
          <w:color w:val="0070C0"/>
          <w:sz w:val="24"/>
          <w:szCs w:val="24"/>
        </w:rPr>
        <w:tab/>
        <w:t xml:space="preserve">Head of </w:t>
      </w:r>
      <w:r w:rsidR="001078D5">
        <w:rPr>
          <w:color w:val="0070C0"/>
          <w:sz w:val="24"/>
          <w:szCs w:val="24"/>
        </w:rPr>
        <w:t>Housing</w:t>
      </w:r>
      <w:r w:rsidR="002E67AD" w:rsidRPr="00E71639">
        <w:rPr>
          <w:color w:val="0070C0"/>
          <w:sz w:val="24"/>
          <w:szCs w:val="24"/>
        </w:rPr>
        <w:t xml:space="preserve"> Operations</w:t>
      </w:r>
      <w:r w:rsidR="000D4EF6" w:rsidRPr="00E71639">
        <w:rPr>
          <w:color w:val="0070C0"/>
          <w:sz w:val="24"/>
          <w:szCs w:val="24"/>
        </w:rPr>
        <w:t xml:space="preserve"> </w:t>
      </w:r>
    </w:p>
    <w:p w14:paraId="2285C6ED" w14:textId="0522BD8A" w:rsidR="00F543E7" w:rsidRDefault="00587FC9" w:rsidP="00587FC9">
      <w:pPr>
        <w:ind w:left="720"/>
        <w:rPr>
          <w:color w:val="0070C0"/>
          <w:sz w:val="24"/>
          <w:szCs w:val="24"/>
        </w:rPr>
      </w:pPr>
      <w:r w:rsidRPr="00E71639">
        <w:rPr>
          <w:color w:val="0070C0"/>
          <w:sz w:val="24"/>
          <w:szCs w:val="24"/>
        </w:rPr>
        <w:t xml:space="preserve">The </w:t>
      </w:r>
      <w:r w:rsidR="00BD37FD" w:rsidRPr="00E71639">
        <w:rPr>
          <w:color w:val="0070C0"/>
          <w:sz w:val="24"/>
          <w:szCs w:val="24"/>
        </w:rPr>
        <w:t>Head</w:t>
      </w:r>
      <w:r w:rsidR="002E67AD" w:rsidRPr="00E71639">
        <w:rPr>
          <w:color w:val="0070C0"/>
          <w:sz w:val="24"/>
          <w:szCs w:val="24"/>
        </w:rPr>
        <w:t xml:space="preserve"> of </w:t>
      </w:r>
      <w:r w:rsidR="001078D5">
        <w:rPr>
          <w:color w:val="0070C0"/>
          <w:sz w:val="24"/>
          <w:szCs w:val="24"/>
        </w:rPr>
        <w:t>Housing</w:t>
      </w:r>
      <w:r w:rsidR="002E67AD" w:rsidRPr="00E71639">
        <w:rPr>
          <w:color w:val="0070C0"/>
          <w:sz w:val="24"/>
          <w:szCs w:val="24"/>
        </w:rPr>
        <w:t xml:space="preserve"> Operations</w:t>
      </w:r>
      <w:r w:rsidR="00B71471">
        <w:rPr>
          <w:color w:val="0070C0"/>
          <w:sz w:val="24"/>
          <w:szCs w:val="24"/>
        </w:rPr>
        <w:t xml:space="preserve"> </w:t>
      </w:r>
      <w:r w:rsidR="000D4EF6" w:rsidRPr="00E71639">
        <w:rPr>
          <w:color w:val="0070C0"/>
          <w:sz w:val="24"/>
          <w:szCs w:val="24"/>
        </w:rPr>
        <w:t>is</w:t>
      </w:r>
      <w:r w:rsidR="00BB6730" w:rsidRPr="00E71639">
        <w:rPr>
          <w:color w:val="0070C0"/>
          <w:sz w:val="24"/>
          <w:szCs w:val="24"/>
        </w:rPr>
        <w:t xml:space="preserve"> the operational lead</w:t>
      </w:r>
      <w:r w:rsidR="000D4EF6" w:rsidRPr="00E71639">
        <w:rPr>
          <w:color w:val="0070C0"/>
          <w:sz w:val="24"/>
          <w:szCs w:val="24"/>
        </w:rPr>
        <w:t xml:space="preserve"> for the day to day running and implementation of t</w:t>
      </w:r>
      <w:r w:rsidR="0006407B">
        <w:rPr>
          <w:color w:val="0070C0"/>
          <w:sz w:val="24"/>
          <w:szCs w:val="24"/>
        </w:rPr>
        <w:t>he Discretionary Succession Policy.</w:t>
      </w:r>
    </w:p>
    <w:p w14:paraId="6F8FAB27" w14:textId="77777777" w:rsidR="00FD0098" w:rsidRDefault="00FD0098" w:rsidP="00273156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4.4</w:t>
      </w:r>
      <w:r>
        <w:rPr>
          <w:color w:val="0070C0"/>
          <w:sz w:val="24"/>
          <w:szCs w:val="24"/>
        </w:rPr>
        <w:tab/>
        <w:t>Employees</w:t>
      </w:r>
    </w:p>
    <w:p w14:paraId="5AF940F1" w14:textId="492F666F" w:rsidR="00FD0098" w:rsidRDefault="00FD0098" w:rsidP="00273156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  <w:t>Housing Operations Employees</w:t>
      </w:r>
      <w:r w:rsidR="000C413C">
        <w:rPr>
          <w:color w:val="0070C0"/>
          <w:sz w:val="24"/>
          <w:szCs w:val="24"/>
        </w:rPr>
        <w:t xml:space="preserve"> have a responsibility to identify when this policy </w:t>
      </w:r>
      <w:r w:rsidR="000C413C">
        <w:rPr>
          <w:color w:val="0070C0"/>
          <w:sz w:val="24"/>
          <w:szCs w:val="24"/>
        </w:rPr>
        <w:tab/>
        <w:t>should be used and to follow this guidance, along with associated processes.</w:t>
      </w:r>
      <w:r>
        <w:rPr>
          <w:color w:val="0070C0"/>
          <w:sz w:val="24"/>
          <w:szCs w:val="24"/>
        </w:rPr>
        <w:tab/>
      </w:r>
    </w:p>
    <w:p w14:paraId="49EF785A" w14:textId="74B584C0" w:rsidR="006A4C37" w:rsidRPr="00555DE7" w:rsidRDefault="00E71639" w:rsidP="00273156">
      <w:pPr>
        <w:rPr>
          <w:color w:val="702F8A"/>
          <w:sz w:val="28"/>
          <w:szCs w:val="28"/>
        </w:rPr>
      </w:pPr>
      <w:r>
        <w:rPr>
          <w:color w:val="702F8A"/>
          <w:sz w:val="28"/>
          <w:szCs w:val="28"/>
        </w:rPr>
        <w:t>6</w:t>
      </w:r>
      <w:r w:rsidR="00AA0C78">
        <w:rPr>
          <w:color w:val="702F8A"/>
          <w:sz w:val="28"/>
          <w:szCs w:val="28"/>
        </w:rPr>
        <w:t>.</w:t>
      </w:r>
      <w:r w:rsidR="00DF14C8">
        <w:rPr>
          <w:color w:val="702F8A"/>
          <w:sz w:val="28"/>
          <w:szCs w:val="28"/>
        </w:rPr>
        <w:tab/>
      </w:r>
      <w:r w:rsidR="00AA0C78">
        <w:rPr>
          <w:color w:val="702F8A"/>
          <w:sz w:val="28"/>
          <w:szCs w:val="28"/>
        </w:rPr>
        <w:t xml:space="preserve"> </w:t>
      </w:r>
      <w:r w:rsidR="006A4C37" w:rsidRPr="00555DE7">
        <w:rPr>
          <w:color w:val="702F8A"/>
          <w:sz w:val="28"/>
          <w:szCs w:val="28"/>
        </w:rPr>
        <w:t xml:space="preserve">Review </w:t>
      </w:r>
    </w:p>
    <w:p w14:paraId="1A76414A" w14:textId="41D1C96F" w:rsidR="001420F6" w:rsidRDefault="00E71639" w:rsidP="008906BA">
      <w:pPr>
        <w:ind w:left="720" w:hanging="720"/>
        <w:rPr>
          <w:color w:val="0072CE"/>
          <w:sz w:val="24"/>
          <w:szCs w:val="24"/>
        </w:rPr>
      </w:pPr>
      <w:r>
        <w:rPr>
          <w:color w:val="0072CE"/>
          <w:sz w:val="24"/>
          <w:szCs w:val="24"/>
        </w:rPr>
        <w:t>6</w:t>
      </w:r>
      <w:r w:rsidR="006A4C37" w:rsidRPr="00555DE7">
        <w:rPr>
          <w:color w:val="0072CE"/>
          <w:sz w:val="24"/>
          <w:szCs w:val="24"/>
        </w:rPr>
        <w:t xml:space="preserve">.1 </w:t>
      </w:r>
      <w:r w:rsidR="006A4C37" w:rsidRPr="00555DE7">
        <w:rPr>
          <w:color w:val="0072CE"/>
          <w:sz w:val="24"/>
          <w:szCs w:val="24"/>
        </w:rPr>
        <w:tab/>
        <w:t xml:space="preserve">This Policy shall be reviewed and updated by </w:t>
      </w:r>
      <w:r w:rsidR="00353A1B">
        <w:rPr>
          <w:color w:val="0072CE"/>
          <w:sz w:val="24"/>
          <w:szCs w:val="24"/>
        </w:rPr>
        <w:t xml:space="preserve">the </w:t>
      </w:r>
      <w:r w:rsidR="00DF14C8">
        <w:rPr>
          <w:color w:val="0072CE"/>
          <w:sz w:val="24"/>
          <w:szCs w:val="24"/>
        </w:rPr>
        <w:t xml:space="preserve">Head of Housing </w:t>
      </w:r>
      <w:r w:rsidR="00C37F17">
        <w:rPr>
          <w:color w:val="0072CE"/>
          <w:sz w:val="24"/>
          <w:szCs w:val="24"/>
        </w:rPr>
        <w:t>Operations triennially.</w:t>
      </w:r>
      <w:r w:rsidR="005F085D">
        <w:rPr>
          <w:color w:val="0072CE"/>
          <w:sz w:val="24"/>
          <w:szCs w:val="24"/>
        </w:rPr>
        <w:t xml:space="preserve"> </w:t>
      </w:r>
    </w:p>
    <w:p w14:paraId="04583B15" w14:textId="59C8EB63" w:rsidR="006A4C37" w:rsidRPr="00555DE7" w:rsidRDefault="008906BA" w:rsidP="00273156">
      <w:pPr>
        <w:rPr>
          <w:color w:val="702F8A"/>
          <w:sz w:val="28"/>
          <w:szCs w:val="28"/>
        </w:rPr>
      </w:pPr>
      <w:r>
        <w:rPr>
          <w:color w:val="702F8A"/>
          <w:sz w:val="28"/>
          <w:szCs w:val="28"/>
        </w:rPr>
        <w:t>7</w:t>
      </w:r>
      <w:r w:rsidR="006A4C37" w:rsidRPr="00555DE7">
        <w:rPr>
          <w:color w:val="702F8A"/>
          <w:sz w:val="28"/>
          <w:szCs w:val="28"/>
        </w:rPr>
        <w:t>.</w:t>
      </w:r>
      <w:r w:rsidR="006A4C37" w:rsidRPr="00555DE7">
        <w:rPr>
          <w:color w:val="702F8A"/>
          <w:sz w:val="28"/>
          <w:szCs w:val="28"/>
        </w:rPr>
        <w:tab/>
        <w:t xml:space="preserve"> Equality and Diversity </w:t>
      </w:r>
    </w:p>
    <w:p w14:paraId="33E33278" w14:textId="3C45460C" w:rsidR="00353A1B" w:rsidRDefault="008906BA" w:rsidP="003C70BD">
      <w:pPr>
        <w:ind w:left="720" w:hanging="720"/>
        <w:rPr>
          <w:color w:val="0072CE"/>
          <w:sz w:val="24"/>
          <w:szCs w:val="24"/>
        </w:rPr>
      </w:pPr>
      <w:r>
        <w:rPr>
          <w:color w:val="0072CE"/>
          <w:sz w:val="24"/>
          <w:szCs w:val="24"/>
        </w:rPr>
        <w:t>7</w:t>
      </w:r>
      <w:r w:rsidR="006A4C37" w:rsidRPr="00555DE7">
        <w:rPr>
          <w:color w:val="0072CE"/>
          <w:sz w:val="24"/>
          <w:szCs w:val="24"/>
        </w:rPr>
        <w:t>.1</w:t>
      </w:r>
      <w:r w:rsidR="006A4C37" w:rsidRPr="00555DE7">
        <w:rPr>
          <w:color w:val="0072CE"/>
          <w:sz w:val="24"/>
          <w:szCs w:val="24"/>
        </w:rPr>
        <w:tab/>
        <w:t>All involved will recognise their ethical and a legal duty to advance equality of opportunity and prevent discrimination on the grounds of; age, sex, sexual orientation, disability, race, religion or belief, gender reassignment, pregnancy and maternity, m</w:t>
      </w:r>
      <w:r w:rsidR="003C70BD">
        <w:rPr>
          <w:color w:val="0072CE"/>
          <w:sz w:val="24"/>
          <w:szCs w:val="24"/>
        </w:rPr>
        <w:t>arriage and civil partnership.</w:t>
      </w:r>
    </w:p>
    <w:p w14:paraId="59C19DCB" w14:textId="4D421884" w:rsidR="006A4C37" w:rsidRPr="00555DE7" w:rsidRDefault="008906BA" w:rsidP="00273156">
      <w:pPr>
        <w:rPr>
          <w:color w:val="702F8A"/>
          <w:sz w:val="28"/>
          <w:szCs w:val="28"/>
        </w:rPr>
      </w:pPr>
      <w:r>
        <w:rPr>
          <w:color w:val="702F8A"/>
          <w:sz w:val="28"/>
          <w:szCs w:val="28"/>
        </w:rPr>
        <w:t>8</w:t>
      </w:r>
      <w:r w:rsidR="006A4C37" w:rsidRPr="00555DE7">
        <w:rPr>
          <w:color w:val="702F8A"/>
          <w:sz w:val="28"/>
          <w:szCs w:val="28"/>
        </w:rPr>
        <w:t xml:space="preserve">. </w:t>
      </w:r>
      <w:r w:rsidR="006A4C37" w:rsidRPr="00555DE7">
        <w:rPr>
          <w:color w:val="702F8A"/>
          <w:sz w:val="28"/>
          <w:szCs w:val="28"/>
        </w:rPr>
        <w:tab/>
        <w:t xml:space="preserve">Publicising this Policy </w:t>
      </w:r>
    </w:p>
    <w:p w14:paraId="73CF55A0" w14:textId="2DEF8B3C" w:rsidR="006A4C37" w:rsidRPr="00555DE7" w:rsidRDefault="008906BA" w:rsidP="00130C79">
      <w:pPr>
        <w:ind w:left="720" w:hanging="720"/>
        <w:rPr>
          <w:color w:val="0072CE"/>
          <w:sz w:val="24"/>
          <w:szCs w:val="24"/>
        </w:rPr>
      </w:pPr>
      <w:r>
        <w:rPr>
          <w:color w:val="0072CE"/>
          <w:sz w:val="24"/>
          <w:szCs w:val="24"/>
        </w:rPr>
        <w:t>8</w:t>
      </w:r>
      <w:r w:rsidR="006A4C37" w:rsidRPr="00555DE7">
        <w:rPr>
          <w:color w:val="0072CE"/>
          <w:sz w:val="24"/>
          <w:szCs w:val="24"/>
        </w:rPr>
        <w:t xml:space="preserve">.1 </w:t>
      </w:r>
      <w:r w:rsidR="006A4C37" w:rsidRPr="00555DE7">
        <w:rPr>
          <w:color w:val="0072CE"/>
          <w:sz w:val="24"/>
          <w:szCs w:val="24"/>
        </w:rPr>
        <w:tab/>
      </w:r>
      <w:r w:rsidR="00E71639">
        <w:rPr>
          <w:color w:val="0072CE"/>
          <w:sz w:val="24"/>
          <w:szCs w:val="24"/>
        </w:rPr>
        <w:t>The D</w:t>
      </w:r>
      <w:r w:rsidR="00324731">
        <w:rPr>
          <w:color w:val="0072CE"/>
          <w:sz w:val="24"/>
          <w:szCs w:val="24"/>
        </w:rPr>
        <w:t>iscretionary Succession</w:t>
      </w:r>
      <w:r w:rsidR="00E71639">
        <w:rPr>
          <w:color w:val="0072CE"/>
          <w:sz w:val="24"/>
          <w:szCs w:val="24"/>
        </w:rPr>
        <w:t xml:space="preserve"> Policy </w:t>
      </w:r>
      <w:r w:rsidR="006A4C37" w:rsidRPr="00555DE7">
        <w:rPr>
          <w:color w:val="0072CE"/>
          <w:sz w:val="24"/>
          <w:szCs w:val="24"/>
        </w:rPr>
        <w:t xml:space="preserve">will be publicised on the Arches Website. </w:t>
      </w:r>
    </w:p>
    <w:p w14:paraId="7414D601" w14:textId="77777777" w:rsidR="00CE2683" w:rsidRPr="00555DE7" w:rsidRDefault="006A4C37">
      <w:pPr>
        <w:rPr>
          <w:color w:val="0072CE"/>
          <w:sz w:val="24"/>
          <w:szCs w:val="24"/>
        </w:rPr>
      </w:pPr>
      <w:r w:rsidRPr="00555DE7">
        <w:rPr>
          <w:color w:val="0072CE"/>
          <w:sz w:val="24"/>
          <w:szCs w:val="24"/>
        </w:rPr>
        <w:t xml:space="preserve"> </w:t>
      </w:r>
    </w:p>
    <w:sectPr w:rsidR="00CE2683" w:rsidRPr="00555DE7" w:rsidSect="002D1BA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9998F" w14:textId="77777777" w:rsidR="008F15FD" w:rsidRDefault="008F15FD" w:rsidP="00165DE8">
      <w:pPr>
        <w:spacing w:after="0" w:line="240" w:lineRule="auto"/>
      </w:pPr>
      <w:r>
        <w:separator/>
      </w:r>
    </w:p>
  </w:endnote>
  <w:endnote w:type="continuationSeparator" w:id="0">
    <w:p w14:paraId="4F74EC2E" w14:textId="77777777" w:rsidR="008F15FD" w:rsidRDefault="008F15FD" w:rsidP="0016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9385" w14:textId="77777777" w:rsidR="008F15FD" w:rsidRDefault="008F15FD" w:rsidP="00165DE8">
      <w:pPr>
        <w:spacing w:after="0" w:line="240" w:lineRule="auto"/>
      </w:pPr>
      <w:r>
        <w:separator/>
      </w:r>
    </w:p>
  </w:footnote>
  <w:footnote w:type="continuationSeparator" w:id="0">
    <w:p w14:paraId="4987406E" w14:textId="77777777" w:rsidR="008F15FD" w:rsidRDefault="008F15FD" w:rsidP="0016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EA4"/>
    <w:multiLevelType w:val="multilevel"/>
    <w:tmpl w:val="8E2CAC58"/>
    <w:styleLink w:val="Style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004FEF"/>
    <w:multiLevelType w:val="hybridMultilevel"/>
    <w:tmpl w:val="8FC63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587A"/>
    <w:multiLevelType w:val="hybridMultilevel"/>
    <w:tmpl w:val="0FB25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430E8"/>
    <w:multiLevelType w:val="hybridMultilevel"/>
    <w:tmpl w:val="C3869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203BDF"/>
    <w:multiLevelType w:val="hybridMultilevel"/>
    <w:tmpl w:val="23025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80561"/>
    <w:multiLevelType w:val="hybridMultilevel"/>
    <w:tmpl w:val="150CE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B0077C"/>
    <w:multiLevelType w:val="hybridMultilevel"/>
    <w:tmpl w:val="B8181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EE14AE"/>
    <w:multiLevelType w:val="hybridMultilevel"/>
    <w:tmpl w:val="13E8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F6EF6"/>
    <w:multiLevelType w:val="hybridMultilevel"/>
    <w:tmpl w:val="4F980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52214"/>
    <w:multiLevelType w:val="hybridMultilevel"/>
    <w:tmpl w:val="3B384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824AC"/>
    <w:multiLevelType w:val="hybridMultilevel"/>
    <w:tmpl w:val="445258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BE58A6"/>
    <w:multiLevelType w:val="hybridMultilevel"/>
    <w:tmpl w:val="A9A22C6A"/>
    <w:lvl w:ilvl="0" w:tplc="3EF478C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C2230BA"/>
    <w:multiLevelType w:val="hybridMultilevel"/>
    <w:tmpl w:val="FC18D1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83"/>
    <w:rsid w:val="000056B4"/>
    <w:rsid w:val="00021D1E"/>
    <w:rsid w:val="000220B3"/>
    <w:rsid w:val="00026C72"/>
    <w:rsid w:val="0003233A"/>
    <w:rsid w:val="00033DCF"/>
    <w:rsid w:val="0004174A"/>
    <w:rsid w:val="000455E9"/>
    <w:rsid w:val="000525CC"/>
    <w:rsid w:val="00057BA6"/>
    <w:rsid w:val="00063D73"/>
    <w:rsid w:val="0006407B"/>
    <w:rsid w:val="00072DCA"/>
    <w:rsid w:val="00073FA6"/>
    <w:rsid w:val="00093699"/>
    <w:rsid w:val="00093B39"/>
    <w:rsid w:val="00094877"/>
    <w:rsid w:val="000A3D97"/>
    <w:rsid w:val="000A54E8"/>
    <w:rsid w:val="000A72C7"/>
    <w:rsid w:val="000B4613"/>
    <w:rsid w:val="000B5C98"/>
    <w:rsid w:val="000B7246"/>
    <w:rsid w:val="000C1A82"/>
    <w:rsid w:val="000C413C"/>
    <w:rsid w:val="000D144C"/>
    <w:rsid w:val="000D4EF6"/>
    <w:rsid w:val="000E0295"/>
    <w:rsid w:val="000E1ED0"/>
    <w:rsid w:val="000E3852"/>
    <w:rsid w:val="000E7754"/>
    <w:rsid w:val="000F0294"/>
    <w:rsid w:val="0010302F"/>
    <w:rsid w:val="001078D5"/>
    <w:rsid w:val="0012558D"/>
    <w:rsid w:val="00125908"/>
    <w:rsid w:val="00130C79"/>
    <w:rsid w:val="001314DA"/>
    <w:rsid w:val="00137E78"/>
    <w:rsid w:val="0014077D"/>
    <w:rsid w:val="001420F6"/>
    <w:rsid w:val="00165008"/>
    <w:rsid w:val="00165DE8"/>
    <w:rsid w:val="00166234"/>
    <w:rsid w:val="00167863"/>
    <w:rsid w:val="00180A97"/>
    <w:rsid w:val="00181480"/>
    <w:rsid w:val="001C041E"/>
    <w:rsid w:val="001C10A4"/>
    <w:rsid w:val="001C1135"/>
    <w:rsid w:val="001C32D3"/>
    <w:rsid w:val="001E45F1"/>
    <w:rsid w:val="00206654"/>
    <w:rsid w:val="00212916"/>
    <w:rsid w:val="0022293C"/>
    <w:rsid w:val="00235D7E"/>
    <w:rsid w:val="0023760F"/>
    <w:rsid w:val="00243FE0"/>
    <w:rsid w:val="00245C0D"/>
    <w:rsid w:val="002526AC"/>
    <w:rsid w:val="00257A95"/>
    <w:rsid w:val="00263683"/>
    <w:rsid w:val="00266C61"/>
    <w:rsid w:val="00273156"/>
    <w:rsid w:val="002835A6"/>
    <w:rsid w:val="002A716F"/>
    <w:rsid w:val="002A7ED6"/>
    <w:rsid w:val="002B301C"/>
    <w:rsid w:val="002B50EF"/>
    <w:rsid w:val="002B76A4"/>
    <w:rsid w:val="002C1B95"/>
    <w:rsid w:val="002C21B5"/>
    <w:rsid w:val="002D1BAA"/>
    <w:rsid w:val="002E2FAA"/>
    <w:rsid w:val="002E5949"/>
    <w:rsid w:val="002E67AD"/>
    <w:rsid w:val="002F38C1"/>
    <w:rsid w:val="002F50DC"/>
    <w:rsid w:val="003073DB"/>
    <w:rsid w:val="00315E41"/>
    <w:rsid w:val="00324731"/>
    <w:rsid w:val="0032562C"/>
    <w:rsid w:val="0034298D"/>
    <w:rsid w:val="00343D94"/>
    <w:rsid w:val="00351141"/>
    <w:rsid w:val="00353A1B"/>
    <w:rsid w:val="003601A2"/>
    <w:rsid w:val="0037037F"/>
    <w:rsid w:val="003A5AC4"/>
    <w:rsid w:val="003A741B"/>
    <w:rsid w:val="003C70BD"/>
    <w:rsid w:val="003D0A58"/>
    <w:rsid w:val="003D23AD"/>
    <w:rsid w:val="003D59DE"/>
    <w:rsid w:val="003E1A81"/>
    <w:rsid w:val="003E5156"/>
    <w:rsid w:val="003E6D40"/>
    <w:rsid w:val="00414BCA"/>
    <w:rsid w:val="0042377C"/>
    <w:rsid w:val="00425A3A"/>
    <w:rsid w:val="00467FEE"/>
    <w:rsid w:val="00470811"/>
    <w:rsid w:val="00480B71"/>
    <w:rsid w:val="00482C8C"/>
    <w:rsid w:val="00491005"/>
    <w:rsid w:val="004921CF"/>
    <w:rsid w:val="0049400F"/>
    <w:rsid w:val="00495AA8"/>
    <w:rsid w:val="004A3D08"/>
    <w:rsid w:val="004B7A32"/>
    <w:rsid w:val="004C21EB"/>
    <w:rsid w:val="004D44CF"/>
    <w:rsid w:val="004D6291"/>
    <w:rsid w:val="004D68C8"/>
    <w:rsid w:val="004E2F36"/>
    <w:rsid w:val="004F003F"/>
    <w:rsid w:val="004F3BE7"/>
    <w:rsid w:val="005076AB"/>
    <w:rsid w:val="00516806"/>
    <w:rsid w:val="00533216"/>
    <w:rsid w:val="005526B3"/>
    <w:rsid w:val="00555AE7"/>
    <w:rsid w:val="00555DE7"/>
    <w:rsid w:val="00571784"/>
    <w:rsid w:val="00580D93"/>
    <w:rsid w:val="00586716"/>
    <w:rsid w:val="00587FC9"/>
    <w:rsid w:val="00597BDD"/>
    <w:rsid w:val="005A063D"/>
    <w:rsid w:val="005A2067"/>
    <w:rsid w:val="005A27E4"/>
    <w:rsid w:val="005C2A08"/>
    <w:rsid w:val="005C6091"/>
    <w:rsid w:val="005C6B0C"/>
    <w:rsid w:val="005D4AFF"/>
    <w:rsid w:val="005D5264"/>
    <w:rsid w:val="005E073E"/>
    <w:rsid w:val="005E27A1"/>
    <w:rsid w:val="005F085D"/>
    <w:rsid w:val="00600901"/>
    <w:rsid w:val="00606C7D"/>
    <w:rsid w:val="00610C98"/>
    <w:rsid w:val="00613313"/>
    <w:rsid w:val="00624C20"/>
    <w:rsid w:val="00633D99"/>
    <w:rsid w:val="0064651A"/>
    <w:rsid w:val="00660C6E"/>
    <w:rsid w:val="006639D7"/>
    <w:rsid w:val="006658EC"/>
    <w:rsid w:val="00675BCB"/>
    <w:rsid w:val="006869E1"/>
    <w:rsid w:val="006961B2"/>
    <w:rsid w:val="006A0E40"/>
    <w:rsid w:val="006A4C37"/>
    <w:rsid w:val="006B5C60"/>
    <w:rsid w:val="006C77C2"/>
    <w:rsid w:val="006D44F2"/>
    <w:rsid w:val="006E3FA0"/>
    <w:rsid w:val="006E4DD0"/>
    <w:rsid w:val="007003CE"/>
    <w:rsid w:val="007104DB"/>
    <w:rsid w:val="007216AD"/>
    <w:rsid w:val="007221B6"/>
    <w:rsid w:val="00732F82"/>
    <w:rsid w:val="00745694"/>
    <w:rsid w:val="0075151D"/>
    <w:rsid w:val="007522C8"/>
    <w:rsid w:val="007802D8"/>
    <w:rsid w:val="007806A8"/>
    <w:rsid w:val="0078314D"/>
    <w:rsid w:val="00783D89"/>
    <w:rsid w:val="007850C0"/>
    <w:rsid w:val="00786E0B"/>
    <w:rsid w:val="007961AD"/>
    <w:rsid w:val="007A4AC9"/>
    <w:rsid w:val="007A5952"/>
    <w:rsid w:val="007B31A2"/>
    <w:rsid w:val="007B6458"/>
    <w:rsid w:val="007C453C"/>
    <w:rsid w:val="007C6E37"/>
    <w:rsid w:val="007E2688"/>
    <w:rsid w:val="007F17F8"/>
    <w:rsid w:val="00811281"/>
    <w:rsid w:val="00824EE9"/>
    <w:rsid w:val="00830EE2"/>
    <w:rsid w:val="008310A2"/>
    <w:rsid w:val="00845770"/>
    <w:rsid w:val="00851EF2"/>
    <w:rsid w:val="00857321"/>
    <w:rsid w:val="00866C29"/>
    <w:rsid w:val="008678DA"/>
    <w:rsid w:val="00867AD1"/>
    <w:rsid w:val="00867C81"/>
    <w:rsid w:val="00870583"/>
    <w:rsid w:val="008766F5"/>
    <w:rsid w:val="008767DC"/>
    <w:rsid w:val="00885D4C"/>
    <w:rsid w:val="008906BA"/>
    <w:rsid w:val="00891A17"/>
    <w:rsid w:val="00895EA1"/>
    <w:rsid w:val="008A4E40"/>
    <w:rsid w:val="008B15DC"/>
    <w:rsid w:val="008B68CE"/>
    <w:rsid w:val="008C018C"/>
    <w:rsid w:val="008C0D5F"/>
    <w:rsid w:val="008C0DE0"/>
    <w:rsid w:val="008C427C"/>
    <w:rsid w:val="008D2830"/>
    <w:rsid w:val="008D466C"/>
    <w:rsid w:val="008D4DC5"/>
    <w:rsid w:val="008D7EF2"/>
    <w:rsid w:val="008E186A"/>
    <w:rsid w:val="008E324E"/>
    <w:rsid w:val="008E6035"/>
    <w:rsid w:val="008F15FD"/>
    <w:rsid w:val="008F48CB"/>
    <w:rsid w:val="008F4F27"/>
    <w:rsid w:val="00906A11"/>
    <w:rsid w:val="00912B99"/>
    <w:rsid w:val="00915182"/>
    <w:rsid w:val="00917BC4"/>
    <w:rsid w:val="0092494D"/>
    <w:rsid w:val="00925562"/>
    <w:rsid w:val="00946FFF"/>
    <w:rsid w:val="00954C95"/>
    <w:rsid w:val="00957FAA"/>
    <w:rsid w:val="0096599A"/>
    <w:rsid w:val="00966881"/>
    <w:rsid w:val="00986CE8"/>
    <w:rsid w:val="009923C1"/>
    <w:rsid w:val="009A40FC"/>
    <w:rsid w:val="009A494F"/>
    <w:rsid w:val="009A6288"/>
    <w:rsid w:val="009A674C"/>
    <w:rsid w:val="009A6A61"/>
    <w:rsid w:val="009B6C22"/>
    <w:rsid w:val="009C0080"/>
    <w:rsid w:val="009E60B2"/>
    <w:rsid w:val="009F054E"/>
    <w:rsid w:val="00A03AED"/>
    <w:rsid w:val="00A06E3F"/>
    <w:rsid w:val="00A07687"/>
    <w:rsid w:val="00A17653"/>
    <w:rsid w:val="00A23557"/>
    <w:rsid w:val="00A239ED"/>
    <w:rsid w:val="00A515AA"/>
    <w:rsid w:val="00A51D02"/>
    <w:rsid w:val="00A544F2"/>
    <w:rsid w:val="00A55F1E"/>
    <w:rsid w:val="00A64214"/>
    <w:rsid w:val="00A648D6"/>
    <w:rsid w:val="00A739DD"/>
    <w:rsid w:val="00A82008"/>
    <w:rsid w:val="00A9483A"/>
    <w:rsid w:val="00A967FE"/>
    <w:rsid w:val="00AA0C78"/>
    <w:rsid w:val="00AA2E30"/>
    <w:rsid w:val="00AC54A4"/>
    <w:rsid w:val="00AD7374"/>
    <w:rsid w:val="00AE1562"/>
    <w:rsid w:val="00B0471D"/>
    <w:rsid w:val="00B15497"/>
    <w:rsid w:val="00B16C73"/>
    <w:rsid w:val="00B310A8"/>
    <w:rsid w:val="00B406BF"/>
    <w:rsid w:val="00B40AD1"/>
    <w:rsid w:val="00B42AC5"/>
    <w:rsid w:val="00B43D88"/>
    <w:rsid w:val="00B61968"/>
    <w:rsid w:val="00B664B3"/>
    <w:rsid w:val="00B71471"/>
    <w:rsid w:val="00B72E44"/>
    <w:rsid w:val="00B73110"/>
    <w:rsid w:val="00B81D64"/>
    <w:rsid w:val="00B97BC8"/>
    <w:rsid w:val="00BA1221"/>
    <w:rsid w:val="00BA6428"/>
    <w:rsid w:val="00BB1C49"/>
    <w:rsid w:val="00BB6730"/>
    <w:rsid w:val="00BC3724"/>
    <w:rsid w:val="00BD0A41"/>
    <w:rsid w:val="00BD37FD"/>
    <w:rsid w:val="00BD6845"/>
    <w:rsid w:val="00BF2905"/>
    <w:rsid w:val="00BF6590"/>
    <w:rsid w:val="00C00370"/>
    <w:rsid w:val="00C00441"/>
    <w:rsid w:val="00C053E4"/>
    <w:rsid w:val="00C108D0"/>
    <w:rsid w:val="00C116F9"/>
    <w:rsid w:val="00C264F2"/>
    <w:rsid w:val="00C31C6D"/>
    <w:rsid w:val="00C37F17"/>
    <w:rsid w:val="00C463C3"/>
    <w:rsid w:val="00C52933"/>
    <w:rsid w:val="00C52D1A"/>
    <w:rsid w:val="00C54E06"/>
    <w:rsid w:val="00C6509C"/>
    <w:rsid w:val="00C66B56"/>
    <w:rsid w:val="00C70F78"/>
    <w:rsid w:val="00C95F7F"/>
    <w:rsid w:val="00CA04EA"/>
    <w:rsid w:val="00CA36B1"/>
    <w:rsid w:val="00CA4720"/>
    <w:rsid w:val="00CB007A"/>
    <w:rsid w:val="00CC026A"/>
    <w:rsid w:val="00CE2683"/>
    <w:rsid w:val="00CE41B5"/>
    <w:rsid w:val="00CE62CF"/>
    <w:rsid w:val="00CE6AC6"/>
    <w:rsid w:val="00CF20BC"/>
    <w:rsid w:val="00CF329E"/>
    <w:rsid w:val="00CF41C1"/>
    <w:rsid w:val="00CF7BEC"/>
    <w:rsid w:val="00D01BCC"/>
    <w:rsid w:val="00D0778E"/>
    <w:rsid w:val="00D1306A"/>
    <w:rsid w:val="00D26F24"/>
    <w:rsid w:val="00D36626"/>
    <w:rsid w:val="00D36EE4"/>
    <w:rsid w:val="00D6622C"/>
    <w:rsid w:val="00D7052F"/>
    <w:rsid w:val="00D72FF3"/>
    <w:rsid w:val="00D75834"/>
    <w:rsid w:val="00DA12C5"/>
    <w:rsid w:val="00DB0199"/>
    <w:rsid w:val="00DB0462"/>
    <w:rsid w:val="00DB056E"/>
    <w:rsid w:val="00DB2C93"/>
    <w:rsid w:val="00DE07A4"/>
    <w:rsid w:val="00DE6F13"/>
    <w:rsid w:val="00DF14C8"/>
    <w:rsid w:val="00DF32A4"/>
    <w:rsid w:val="00E04FD3"/>
    <w:rsid w:val="00E265A6"/>
    <w:rsid w:val="00E45E4B"/>
    <w:rsid w:val="00E51196"/>
    <w:rsid w:val="00E5614F"/>
    <w:rsid w:val="00E57802"/>
    <w:rsid w:val="00E71639"/>
    <w:rsid w:val="00E76C5B"/>
    <w:rsid w:val="00E917ED"/>
    <w:rsid w:val="00E9295E"/>
    <w:rsid w:val="00E93265"/>
    <w:rsid w:val="00EB1385"/>
    <w:rsid w:val="00EB350E"/>
    <w:rsid w:val="00ED2676"/>
    <w:rsid w:val="00EE17CD"/>
    <w:rsid w:val="00EE2B3D"/>
    <w:rsid w:val="00F003D7"/>
    <w:rsid w:val="00F06BC4"/>
    <w:rsid w:val="00F10C35"/>
    <w:rsid w:val="00F11D88"/>
    <w:rsid w:val="00F14A8F"/>
    <w:rsid w:val="00F17B24"/>
    <w:rsid w:val="00F26168"/>
    <w:rsid w:val="00F34232"/>
    <w:rsid w:val="00F520DF"/>
    <w:rsid w:val="00F543E7"/>
    <w:rsid w:val="00F574CF"/>
    <w:rsid w:val="00F726D1"/>
    <w:rsid w:val="00F76ABC"/>
    <w:rsid w:val="00F81FA9"/>
    <w:rsid w:val="00F8218E"/>
    <w:rsid w:val="00F85B41"/>
    <w:rsid w:val="00FA05AF"/>
    <w:rsid w:val="00FA7431"/>
    <w:rsid w:val="00FB5784"/>
    <w:rsid w:val="00FC10C8"/>
    <w:rsid w:val="00FC1BDD"/>
    <w:rsid w:val="00FC645B"/>
    <w:rsid w:val="00FD0098"/>
    <w:rsid w:val="00FE355F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B0DA"/>
  <w15:docId w15:val="{73642826-E6F4-47A4-A5EF-78D9810E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6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AC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6E3FA0"/>
    <w:pPr>
      <w:numPr>
        <w:numId w:val="5"/>
      </w:numPr>
    </w:pPr>
  </w:style>
  <w:style w:type="character" w:styleId="CommentReference">
    <w:name w:val="annotation reference"/>
    <w:basedOn w:val="DefaultParagraphFont"/>
    <w:semiHidden/>
    <w:unhideWhenUsed/>
    <w:rsid w:val="000A5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5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4E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06654"/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paragraph" w:styleId="NoSpacing">
    <w:name w:val="No Spacing"/>
    <w:uiPriority w:val="1"/>
    <w:qFormat/>
    <w:rsid w:val="009A6A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E8"/>
  </w:style>
  <w:style w:type="paragraph" w:styleId="Footer">
    <w:name w:val="footer"/>
    <w:basedOn w:val="Normal"/>
    <w:link w:val="FooterChar"/>
    <w:uiPriority w:val="99"/>
    <w:unhideWhenUsed/>
    <w:rsid w:val="0016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5B40F4A4FCB49875094A78B66078D" ma:contentTypeVersion="13" ma:contentTypeDescription="Create a new document." ma:contentTypeScope="" ma:versionID="e6470133fe7a539ea56c373e4d58f09a">
  <xsd:schema xmlns:xsd="http://www.w3.org/2001/XMLSchema" xmlns:xs="http://www.w3.org/2001/XMLSchema" xmlns:p="http://schemas.microsoft.com/office/2006/metadata/properties" xmlns:ns3="696af28b-ca68-4f06-a3a9-94f1e1cc450b" xmlns:ns4="ee87cf9f-dfbb-415e-94eb-bd9742a345bc" targetNamespace="http://schemas.microsoft.com/office/2006/metadata/properties" ma:root="true" ma:fieldsID="5497119f5245fb5943fe82ac8b978151" ns3:_="" ns4:_="">
    <xsd:import namespace="696af28b-ca68-4f06-a3a9-94f1e1cc450b"/>
    <xsd:import namespace="ee87cf9f-dfbb-415e-94eb-bd9742a345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af28b-ca68-4f06-a3a9-94f1e1cc45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7cf9f-dfbb-415e-94eb-bd9742a34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C71F-DBC4-4017-A53C-96A7B89E05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83E74-E5E6-463B-929A-5CAF5AB13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af28b-ca68-4f06-a3a9-94f1e1cc450b"/>
    <ds:schemaRef ds:uri="ee87cf9f-dfbb-415e-94eb-bd9742a34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25165-AAFE-421D-8DC0-AA134CD12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32360-4520-4973-81B6-D6A65BD1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Hudson</dc:creator>
  <cp:lastModifiedBy>Vicky Wright</cp:lastModifiedBy>
  <cp:revision>2</cp:revision>
  <cp:lastPrinted>2017-04-10T10:32:00Z</cp:lastPrinted>
  <dcterms:created xsi:type="dcterms:W3CDTF">2024-03-28T15:26:00Z</dcterms:created>
  <dcterms:modified xsi:type="dcterms:W3CDTF">2024-03-28T15:26:00Z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0x0101006935B40F4A4FCB49875094A78B66078D</vt:lpwstr>
  </property>
</Properties>
</file>